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B40C8E">
      <w:pPr>
        <w:pStyle w:val="3"/>
        <w:widowControl/>
        <w:overflowPunct w:val="0"/>
        <w:autoSpaceDE w:val="0"/>
        <w:autoSpaceDN w:val="0"/>
        <w:adjustRightInd w:val="0"/>
        <w:snapToGrid w:val="0"/>
        <w:spacing w:before="140"/>
        <w:textAlignment w:val="baseline"/>
        <w:rPr>
          <w:rFonts w:hint="default" w:ascii="Times New Roman" w:hAnsi="Times New Roman" w:cs="Times New Roman"/>
          <w:color w:val="000000" w:themeColor="text1"/>
          <w14:textFill>
            <w14:solidFill>
              <w14:schemeClr w14:val="tx1"/>
            </w14:solidFill>
          </w14:textFill>
        </w:rPr>
      </w:pPr>
    </w:p>
    <w:p w14:paraId="4DF4A292">
      <w:pPr>
        <w:widowControl/>
        <w:overflowPunct w:val="0"/>
        <w:autoSpaceDE w:val="0"/>
        <w:autoSpaceDN w:val="0"/>
        <w:adjustRightInd w:val="0"/>
        <w:snapToGrid w:val="0"/>
        <w:spacing w:before="140" w:line="223" w:lineRule="auto"/>
        <w:jc w:val="center"/>
        <w:textAlignment w:val="baseline"/>
        <w:outlineLvl w:val="0"/>
        <w:rPr>
          <w:rFonts w:hint="default" w:ascii="Times New Roman" w:hAnsi="Times New Roman" w:eastAsia="方正小标宋_GBK" w:cs="Times New Roman"/>
          <w:b/>
          <w:bCs/>
          <w:snapToGrid w:val="0"/>
          <w:color w:val="000000" w:themeColor="text1"/>
          <w:spacing w:val="3"/>
          <w:kern w:val="0"/>
          <w:sz w:val="43"/>
          <w:szCs w:val="43"/>
          <w14:textFill>
            <w14:solidFill>
              <w14:schemeClr w14:val="tx1"/>
            </w14:solidFill>
          </w14:textFill>
        </w:rPr>
      </w:pPr>
    </w:p>
    <w:p w14:paraId="550369C3">
      <w:pPr>
        <w:widowControl/>
        <w:overflowPunct w:val="0"/>
        <w:autoSpaceDE w:val="0"/>
        <w:autoSpaceDN w:val="0"/>
        <w:adjustRightInd w:val="0"/>
        <w:snapToGrid w:val="0"/>
        <w:spacing w:before="140" w:line="223" w:lineRule="auto"/>
        <w:jc w:val="center"/>
        <w:textAlignment w:val="baseline"/>
        <w:outlineLvl w:val="0"/>
        <w:rPr>
          <w:rFonts w:hint="default" w:ascii="Times New Roman" w:hAnsi="Times New Roman" w:eastAsia="方正小标宋简体" w:cs="Times New Roman"/>
          <w:bCs/>
          <w:snapToGrid w:val="0"/>
          <w:color w:val="000000" w:themeColor="text1"/>
          <w:spacing w:val="3"/>
          <w:kern w:val="0"/>
          <w:sz w:val="43"/>
          <w:szCs w:val="43"/>
          <w14:textFill>
            <w14:solidFill>
              <w14:schemeClr w14:val="tx1"/>
            </w14:solidFill>
          </w14:textFill>
        </w:rPr>
      </w:pPr>
      <w:r>
        <w:rPr>
          <w:rFonts w:hint="default" w:ascii="Times New Roman" w:hAnsi="Times New Roman" w:eastAsia="方正小标宋简体" w:cs="Times New Roman"/>
          <w:bCs/>
          <w:snapToGrid w:val="0"/>
          <w:color w:val="000000" w:themeColor="text1"/>
          <w:spacing w:val="3"/>
          <w:kern w:val="0"/>
          <w:sz w:val="43"/>
          <w:szCs w:val="43"/>
          <w14:textFill>
            <w14:solidFill>
              <w14:schemeClr w14:val="tx1"/>
            </w14:solidFill>
          </w14:textFill>
        </w:rPr>
        <w:t>江苏省督学管理办法</w:t>
      </w:r>
    </w:p>
    <w:p w14:paraId="3046A1FE">
      <w:pPr>
        <w:widowControl/>
        <w:overflowPunct w:val="0"/>
        <w:autoSpaceDE w:val="0"/>
        <w:autoSpaceDN w:val="0"/>
        <w:adjustRightInd w:val="0"/>
        <w:snapToGrid w:val="0"/>
        <w:spacing w:after="120"/>
        <w:jc w:val="center"/>
        <w:textAlignment w:val="baseline"/>
        <w:rPr>
          <w:rFonts w:hint="default" w:ascii="Times New Roman" w:hAnsi="Times New Roman" w:eastAsia="楷体" w:cs="Times New Roman"/>
          <w:snapToGrid w:val="0"/>
          <w:color w:val="000000" w:themeColor="text1"/>
          <w:kern w:val="0"/>
          <w:sz w:val="32"/>
          <w:szCs w:val="32"/>
          <w14:textFill>
            <w14:solidFill>
              <w14:schemeClr w14:val="tx1"/>
            </w14:solidFill>
          </w14:textFill>
        </w:rPr>
      </w:pPr>
      <w:r>
        <w:rPr>
          <w:rFonts w:hint="default" w:ascii="Times New Roman" w:hAnsi="Times New Roman" w:eastAsia="楷体" w:cs="Times New Roman"/>
          <w:snapToGrid w:val="0"/>
          <w:color w:val="000000" w:themeColor="text1"/>
          <w:kern w:val="0"/>
          <w:sz w:val="32"/>
          <w:szCs w:val="32"/>
          <w14:textFill>
            <w14:solidFill>
              <w14:schemeClr w14:val="tx1"/>
            </w14:solidFill>
          </w14:textFill>
        </w:rPr>
        <w:t>（征求意见稿）</w:t>
      </w:r>
    </w:p>
    <w:p w14:paraId="04773319">
      <w:pPr>
        <w:pStyle w:val="2"/>
        <w:rPr>
          <w:rFonts w:hint="default" w:ascii="Times New Roman" w:hAnsi="Times New Roman" w:cs="Times New Roman"/>
          <w:color w:val="000000" w:themeColor="text1"/>
          <w14:textFill>
            <w14:solidFill>
              <w14:schemeClr w14:val="tx1"/>
            </w14:solidFill>
          </w14:textFill>
        </w:rPr>
      </w:pPr>
    </w:p>
    <w:p w14:paraId="12A44496">
      <w:pPr>
        <w:widowControl/>
        <w:overflowPunct w:val="0"/>
        <w:autoSpaceDE w:val="0"/>
        <w:autoSpaceDN w:val="0"/>
        <w:adjustRightInd w:val="0"/>
        <w:snapToGrid w:val="0"/>
        <w:spacing w:before="101" w:line="560" w:lineRule="exact"/>
        <w:jc w:val="center"/>
        <w:textAlignment w:val="baseline"/>
        <w:outlineLvl w:val="0"/>
        <w:rPr>
          <w:rFonts w:hint="default" w:ascii="Times New Roman" w:hAnsi="Times New Roman" w:eastAsia="黑体" w:cs="Times New Roman"/>
          <w:snapToGrid w:val="0"/>
          <w:color w:val="000000" w:themeColor="text1"/>
          <w:kern w:val="0"/>
          <w:sz w:val="32"/>
          <w:szCs w:val="32"/>
          <w14:textFill>
            <w14:solidFill>
              <w14:schemeClr w14:val="tx1"/>
            </w14:solidFill>
          </w14:textFill>
        </w:rPr>
      </w:pPr>
      <w:r>
        <w:rPr>
          <w:rFonts w:hint="default" w:ascii="Times New Roman" w:hAnsi="Times New Roman" w:eastAsia="黑体" w:cs="Times New Roman"/>
          <w:snapToGrid w:val="0"/>
          <w:color w:val="000000" w:themeColor="text1"/>
          <w:spacing w:val="-1"/>
          <w:kern w:val="0"/>
          <w:sz w:val="32"/>
          <w:szCs w:val="32"/>
          <w14:textFill>
            <w14:solidFill>
              <w14:schemeClr w14:val="tx1"/>
            </w14:solidFill>
          </w14:textFill>
        </w:rPr>
        <w:t>第一章</w:t>
      </w:r>
      <w:r>
        <w:rPr>
          <w:rFonts w:hint="default" w:ascii="Times New Roman" w:hAnsi="Times New Roman" w:eastAsia="黑体" w:cs="Times New Roman"/>
          <w:snapToGrid w:val="0"/>
          <w:color w:val="000000" w:themeColor="text1"/>
          <w:spacing w:val="15"/>
          <w:kern w:val="0"/>
          <w:sz w:val="32"/>
          <w:szCs w:val="32"/>
          <w14:textFill>
            <w14:solidFill>
              <w14:schemeClr w14:val="tx1"/>
            </w14:solidFill>
          </w14:textFill>
        </w:rPr>
        <w:t xml:space="preserve">  </w:t>
      </w:r>
      <w:r>
        <w:rPr>
          <w:rFonts w:hint="default" w:ascii="Times New Roman" w:hAnsi="Times New Roman" w:eastAsia="黑体" w:cs="Times New Roman"/>
          <w:snapToGrid w:val="0"/>
          <w:color w:val="000000" w:themeColor="text1"/>
          <w:spacing w:val="-1"/>
          <w:kern w:val="0"/>
          <w:sz w:val="32"/>
          <w:szCs w:val="32"/>
          <w14:textFill>
            <w14:solidFill>
              <w14:schemeClr w14:val="tx1"/>
            </w14:solidFill>
          </w14:textFill>
        </w:rPr>
        <w:t>总</w:t>
      </w:r>
      <w:r>
        <w:rPr>
          <w:rFonts w:hint="default" w:ascii="Times New Roman" w:hAnsi="Times New Roman" w:eastAsia="黑体" w:cs="Times New Roman"/>
          <w:snapToGrid w:val="0"/>
          <w:color w:val="000000" w:themeColor="text1"/>
          <w:spacing w:val="17"/>
          <w:kern w:val="0"/>
          <w:sz w:val="32"/>
          <w:szCs w:val="32"/>
          <w14:textFill>
            <w14:solidFill>
              <w14:schemeClr w14:val="tx1"/>
            </w14:solidFill>
          </w14:textFill>
        </w:rPr>
        <w:t xml:space="preserve">  </w:t>
      </w:r>
      <w:r>
        <w:rPr>
          <w:rFonts w:hint="default" w:ascii="Times New Roman" w:hAnsi="Times New Roman" w:eastAsia="黑体" w:cs="Times New Roman"/>
          <w:snapToGrid w:val="0"/>
          <w:color w:val="000000" w:themeColor="text1"/>
          <w:spacing w:val="-1"/>
          <w:kern w:val="0"/>
          <w:sz w:val="32"/>
          <w:szCs w:val="32"/>
          <w14:textFill>
            <w14:solidFill>
              <w14:schemeClr w14:val="tx1"/>
            </w14:solidFill>
          </w14:textFill>
        </w:rPr>
        <w:t>则</w:t>
      </w:r>
      <w:bookmarkStart w:id="0" w:name="_GoBack"/>
      <w:bookmarkEnd w:id="0"/>
    </w:p>
    <w:p w14:paraId="2D4F3943">
      <w:pPr>
        <w:widowControl/>
        <w:overflowPunct w:val="0"/>
        <w:adjustRightInd w:val="0"/>
        <w:snapToGrid w:val="0"/>
        <w:spacing w:line="560" w:lineRule="exact"/>
        <w:ind w:firstLine="640" w:firstLineChars="200"/>
        <w:textAlignment w:val="baseline"/>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第一条</w:t>
      </w: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 xml:space="preserve"> </w:t>
      </w: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为加强督学队伍建设，促进督学管理科学化、规范化、专业化、数字化，提高教育督导工作质量和水平，推进现代教育治理，服务江苏教育高质量发展，根据《教育督导条例》《江苏省教育督导条例》及教育部《督学管理办法》，结合本省实际制定本办法。</w:t>
      </w:r>
    </w:p>
    <w:p w14:paraId="0F0FBBA6">
      <w:pPr>
        <w:widowControl/>
        <w:overflowPunct w:val="0"/>
        <w:adjustRightInd w:val="0"/>
        <w:snapToGrid w:val="0"/>
        <w:spacing w:line="560" w:lineRule="exact"/>
        <w:ind w:firstLine="640" w:firstLineChars="200"/>
        <w:textAlignment w:val="baseline"/>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第二条</w:t>
      </w: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 xml:space="preserve"> 督学是受教育督导机构指派实施教育督导工作的人员，</w:t>
      </w: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包括专职督学和兼职督学。</w:t>
      </w:r>
    </w:p>
    <w:p w14:paraId="123414F6">
      <w:pPr>
        <w:widowControl/>
        <w:overflowPunct w:val="0"/>
        <w:adjustRightInd w:val="0"/>
        <w:snapToGrid w:val="0"/>
        <w:spacing w:line="560" w:lineRule="exact"/>
        <w:ind w:firstLine="640" w:firstLineChars="200"/>
        <w:textAlignment w:val="baseline"/>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省督学是由省教育厅聘任的依法执行教育督导公务的人员。市级督学、县级督学是分别由市级、县级人民政府及教育督导机构任命或者聘任的依法执行教育督导公务的人员。</w:t>
      </w:r>
    </w:p>
    <w:p w14:paraId="400677E0">
      <w:pPr>
        <w:widowControl/>
        <w:overflowPunct w:val="0"/>
        <w:adjustRightInd w:val="0"/>
        <w:snapToGrid w:val="0"/>
        <w:spacing w:line="560" w:lineRule="exact"/>
        <w:ind w:firstLine="640" w:firstLineChars="200"/>
        <w:textAlignment w:val="baseline"/>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责任督学是指由县级以上人民政府负责教育督导的机构聘任，对督导责任区内中小学幼儿园进行经常性督导的人员。</w:t>
      </w:r>
    </w:p>
    <w:p w14:paraId="14519CCB">
      <w:pPr>
        <w:widowControl/>
        <w:overflowPunct w:val="0"/>
        <w:adjustRightInd w:val="0"/>
        <w:snapToGrid w:val="0"/>
        <w:spacing w:line="560" w:lineRule="exact"/>
        <w:ind w:firstLine="640" w:firstLineChars="200"/>
        <w:textAlignment w:val="baseline"/>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第三条</w:t>
      </w: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 xml:space="preserve"> </w:t>
      </w: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县级以上人民政府及教育督导机构对所任命或聘任的督学实施管理。</w:t>
      </w:r>
    </w:p>
    <w:p w14:paraId="2A950714">
      <w:pPr>
        <w:widowControl/>
        <w:overflowPunct w:val="0"/>
        <w:autoSpaceDE w:val="0"/>
        <w:autoSpaceDN w:val="0"/>
        <w:adjustRightInd w:val="0"/>
        <w:snapToGrid w:val="0"/>
        <w:spacing w:line="471" w:lineRule="auto"/>
        <w:jc w:val="left"/>
        <w:textAlignment w:val="baseline"/>
        <w:rPr>
          <w:rFonts w:hint="default" w:ascii="Times New Roman" w:hAnsi="Times New Roman" w:eastAsia="黑体" w:cs="Times New Roman"/>
          <w:snapToGrid w:val="0"/>
          <w:color w:val="000000" w:themeColor="text1"/>
          <w:kern w:val="0"/>
          <w:szCs w:val="21"/>
          <w14:textFill>
            <w14:solidFill>
              <w14:schemeClr w14:val="tx1"/>
            </w14:solidFill>
          </w14:textFill>
        </w:rPr>
      </w:pPr>
    </w:p>
    <w:p w14:paraId="0B55DBFA">
      <w:pPr>
        <w:widowControl/>
        <w:overflowPunct w:val="0"/>
        <w:autoSpaceDE w:val="0"/>
        <w:autoSpaceDN w:val="0"/>
        <w:adjustRightInd w:val="0"/>
        <w:snapToGrid w:val="0"/>
        <w:spacing w:before="100" w:line="224" w:lineRule="auto"/>
        <w:jc w:val="center"/>
        <w:textAlignment w:val="baseline"/>
        <w:outlineLvl w:val="0"/>
        <w:rPr>
          <w:rFonts w:hint="default" w:ascii="Times New Roman" w:hAnsi="Times New Roman" w:eastAsia="黑体" w:cs="Times New Roman"/>
          <w:snapToGrid w:val="0"/>
          <w:color w:val="000000" w:themeColor="text1"/>
          <w:kern w:val="0"/>
          <w:sz w:val="32"/>
          <w:szCs w:val="32"/>
          <w14:textFill>
            <w14:solidFill>
              <w14:schemeClr w14:val="tx1"/>
            </w14:solidFill>
          </w14:textFill>
        </w:rPr>
      </w:pPr>
      <w:r>
        <w:rPr>
          <w:rFonts w:hint="default" w:ascii="Times New Roman" w:hAnsi="Times New Roman" w:eastAsia="黑体" w:cs="Times New Roman"/>
          <w:snapToGrid w:val="0"/>
          <w:color w:val="000000" w:themeColor="text1"/>
          <w:kern w:val="0"/>
          <w:sz w:val="32"/>
          <w:szCs w:val="32"/>
          <w14:textFill>
            <w14:solidFill>
              <w14:schemeClr w14:val="tx1"/>
            </w14:solidFill>
          </w14:textFill>
        </w:rPr>
        <w:t>第二章</w:t>
      </w:r>
      <w:r>
        <w:rPr>
          <w:rFonts w:hint="default" w:ascii="Times New Roman" w:hAnsi="Times New Roman" w:eastAsia="黑体" w:cs="Times New Roman"/>
          <w:snapToGrid w:val="0"/>
          <w:color w:val="000000" w:themeColor="text1"/>
          <w:spacing w:val="13"/>
          <w:kern w:val="0"/>
          <w:sz w:val="32"/>
          <w:szCs w:val="32"/>
          <w14:textFill>
            <w14:solidFill>
              <w14:schemeClr w14:val="tx1"/>
            </w14:solidFill>
          </w14:textFill>
        </w:rPr>
        <w:t xml:space="preserve">  </w:t>
      </w:r>
      <w:r>
        <w:rPr>
          <w:rFonts w:hint="default" w:ascii="Times New Roman" w:hAnsi="Times New Roman" w:eastAsia="黑体" w:cs="Times New Roman"/>
          <w:snapToGrid w:val="0"/>
          <w:color w:val="000000" w:themeColor="text1"/>
          <w:kern w:val="0"/>
          <w:sz w:val="32"/>
          <w:szCs w:val="32"/>
          <w14:textFill>
            <w14:solidFill>
              <w14:schemeClr w14:val="tx1"/>
            </w14:solidFill>
          </w14:textFill>
        </w:rPr>
        <w:t>聘</w:t>
      </w:r>
      <w:r>
        <w:rPr>
          <w:rFonts w:hint="default" w:ascii="Times New Roman" w:hAnsi="Times New Roman" w:eastAsia="黑体" w:cs="Times New Roman"/>
          <w:snapToGrid w:val="0"/>
          <w:color w:val="000000" w:themeColor="text1"/>
          <w:spacing w:val="12"/>
          <w:kern w:val="0"/>
          <w:sz w:val="32"/>
          <w:szCs w:val="32"/>
          <w14:textFill>
            <w14:solidFill>
              <w14:schemeClr w14:val="tx1"/>
            </w14:solidFill>
          </w14:textFill>
        </w:rPr>
        <w:t xml:space="preserve">  </w:t>
      </w:r>
      <w:r>
        <w:rPr>
          <w:rFonts w:hint="default" w:ascii="Times New Roman" w:hAnsi="Times New Roman" w:eastAsia="黑体" w:cs="Times New Roman"/>
          <w:snapToGrid w:val="0"/>
          <w:color w:val="000000" w:themeColor="text1"/>
          <w:kern w:val="0"/>
          <w:sz w:val="32"/>
          <w:szCs w:val="32"/>
          <w14:textFill>
            <w14:solidFill>
              <w14:schemeClr w14:val="tx1"/>
            </w14:solidFill>
          </w14:textFill>
        </w:rPr>
        <w:t>任</w:t>
      </w:r>
    </w:p>
    <w:p w14:paraId="3C110128">
      <w:pPr>
        <w:widowControl/>
        <w:overflowPunct w:val="0"/>
        <w:adjustRightInd w:val="0"/>
        <w:snapToGrid w:val="0"/>
        <w:spacing w:line="560" w:lineRule="exact"/>
        <w:ind w:firstLine="640" w:firstLineChars="200"/>
        <w:textAlignment w:val="baseline"/>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第四条</w:t>
      </w: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 xml:space="preserve"> </w:t>
      </w: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专职督学由县级以上人民政府按照干部人事管理权限和程序任命，兼职督学由县级以上人民政府负责教育督导的机构根据教育督导工作需要聘任，并颁发聘书和督学证。</w:t>
      </w:r>
    </w:p>
    <w:p w14:paraId="1E9D23D0">
      <w:pPr>
        <w:widowControl/>
        <w:shd w:val="clear" w:color="auto" w:fill="FFFFFF"/>
        <w:overflowPunct w:val="0"/>
        <w:spacing w:line="580" w:lineRule="exact"/>
        <w:ind w:firstLine="640"/>
        <w:rPr>
          <w:rFonts w:hint="default" w:ascii="Times New Roman" w:hAnsi="Times New Roman" w:eastAsia="仿宋_GB2312" w:cs="Times New Roman"/>
          <w:b/>
          <w:bCs/>
          <w:snapToGrid w:val="0"/>
          <w:color w:val="000000" w:themeColor="text1"/>
          <w:kern w:val="0"/>
          <w:sz w:val="32"/>
          <w:szCs w:val="32"/>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第五条</w:t>
      </w: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 xml:space="preserve"> </w:t>
      </w: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县级以上人民政府及教育督导机构应当按照督学与学校数不少于1:5的比例配备督学，其中专职督学按照每8</w:t>
      </w: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00</w:t>
      </w: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—1</w:t>
      </w: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000</w:t>
      </w: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名专任教师配备1名，并建立督学动态调整机制。</w:t>
      </w:r>
    </w:p>
    <w:p w14:paraId="635237E6">
      <w:pPr>
        <w:widowControl/>
        <w:overflowPunct w:val="0"/>
        <w:adjustRightInd w:val="0"/>
        <w:snapToGrid w:val="0"/>
        <w:spacing w:line="560" w:lineRule="exact"/>
        <w:ind w:firstLine="640" w:firstLineChars="200"/>
        <w:textAlignment w:val="baseline"/>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第六条</w:t>
      </w: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 xml:space="preserve"> </w:t>
      </w: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兼职督学实行任期聘任制，每届任期三年，连续聘任不得超过三个任期。任期届满，自动解聘。</w:t>
      </w:r>
    </w:p>
    <w:p w14:paraId="615F29C3">
      <w:pPr>
        <w:widowControl/>
        <w:overflowPunct w:val="0"/>
        <w:autoSpaceDE w:val="0"/>
        <w:autoSpaceDN w:val="0"/>
        <w:adjustRightInd w:val="0"/>
        <w:snapToGrid w:val="0"/>
        <w:spacing w:line="560" w:lineRule="exact"/>
        <w:ind w:firstLine="640" w:firstLineChars="200"/>
        <w:textAlignment w:val="baseline"/>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第七条</w:t>
      </w: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 xml:space="preserve"> </w:t>
      </w: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督学由具有教育教学或相关行政管理专长的人员组成，其中包含一定数量的党委、人大、政府、政协和相关职能部门的专业人员以及社会团体或民主党派中的知名人士。</w:t>
      </w:r>
    </w:p>
    <w:p w14:paraId="71F6B022">
      <w:pPr>
        <w:widowControl/>
        <w:overflowPunct w:val="0"/>
        <w:autoSpaceDE w:val="0"/>
        <w:autoSpaceDN w:val="0"/>
        <w:adjustRightInd w:val="0"/>
        <w:snapToGrid w:val="0"/>
        <w:spacing w:line="560" w:lineRule="exact"/>
        <w:ind w:firstLine="640" w:firstLineChars="200"/>
        <w:textAlignment w:val="baseline"/>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第八条</w:t>
      </w: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 xml:space="preserve"> </w:t>
      </w: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督学应当符合以下条件：</w:t>
      </w:r>
    </w:p>
    <w:p w14:paraId="6BC7E8E8">
      <w:pPr>
        <w:widowControl/>
        <w:overflowPunct w:val="0"/>
        <w:autoSpaceDE w:val="0"/>
        <w:autoSpaceDN w:val="0"/>
        <w:adjustRightInd w:val="0"/>
        <w:snapToGrid w:val="0"/>
        <w:spacing w:line="560" w:lineRule="exact"/>
        <w:ind w:firstLine="640" w:firstLineChars="200"/>
        <w:textAlignment w:val="baseline"/>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（一）坚持党的基本路线，热爱社会主义教育事业，热爱教育督导工作。</w:t>
      </w:r>
    </w:p>
    <w:p w14:paraId="69054155">
      <w:pPr>
        <w:widowControl/>
        <w:overflowPunct w:val="0"/>
        <w:autoSpaceDE w:val="0"/>
        <w:autoSpaceDN w:val="0"/>
        <w:adjustRightInd w:val="0"/>
        <w:snapToGrid w:val="0"/>
        <w:spacing w:line="560" w:lineRule="exact"/>
        <w:ind w:firstLine="640" w:firstLineChars="200"/>
        <w:textAlignment w:val="baseline"/>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（二）熟悉教育法律、法规、规章和政策，掌握必要的检查指导、评估验收以及监测方面有关要求及专业技能，具有较强的组织协调能力、表达能力、综合研究分析能力和数字技术应用能力。</w:t>
      </w:r>
    </w:p>
    <w:p w14:paraId="3053FEAF">
      <w:pPr>
        <w:widowControl/>
        <w:overflowPunct w:val="0"/>
        <w:autoSpaceDE w:val="0"/>
        <w:autoSpaceDN w:val="0"/>
        <w:adjustRightInd w:val="0"/>
        <w:snapToGrid w:val="0"/>
        <w:spacing w:line="560" w:lineRule="exact"/>
        <w:ind w:firstLine="640" w:firstLineChars="200"/>
        <w:textAlignment w:val="baseline"/>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（三）坚持原则，办事公道，品行端正，勇于担当，廉洁自律。</w:t>
      </w:r>
    </w:p>
    <w:p w14:paraId="3E481FC5">
      <w:pPr>
        <w:widowControl/>
        <w:overflowPunct w:val="0"/>
        <w:autoSpaceDE w:val="0"/>
        <w:autoSpaceDN w:val="0"/>
        <w:adjustRightInd w:val="0"/>
        <w:snapToGrid w:val="0"/>
        <w:spacing w:line="560" w:lineRule="exact"/>
        <w:ind w:firstLine="640" w:firstLineChars="200"/>
        <w:textAlignment w:val="baseline"/>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（四）具有大学本科以上学历，原则上从事教育管理、教学或者教育研究等相关工作10年以上，工作实绩突出。</w:t>
      </w:r>
    </w:p>
    <w:p w14:paraId="49214BA9">
      <w:pPr>
        <w:widowControl/>
        <w:overflowPunct w:val="0"/>
        <w:autoSpaceDE w:val="0"/>
        <w:autoSpaceDN w:val="0"/>
        <w:adjustRightInd w:val="0"/>
        <w:snapToGrid w:val="0"/>
        <w:spacing w:line="560" w:lineRule="exact"/>
        <w:ind w:firstLine="640" w:firstLineChars="200"/>
        <w:textAlignment w:val="baseline"/>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（五）初聘年龄一般不超过63周岁，续聘年龄不超过67周岁；在教育领域具有特殊贡献的，年龄可适当放宽。</w:t>
      </w:r>
    </w:p>
    <w:p w14:paraId="56EA5C67">
      <w:pPr>
        <w:widowControl/>
        <w:overflowPunct w:val="0"/>
        <w:autoSpaceDE w:val="0"/>
        <w:autoSpaceDN w:val="0"/>
        <w:adjustRightInd w:val="0"/>
        <w:snapToGrid w:val="0"/>
        <w:spacing w:line="560" w:lineRule="exact"/>
        <w:ind w:firstLine="640" w:firstLineChars="200"/>
        <w:textAlignment w:val="baseline"/>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（六）身心健康，能够胜任教育督导工作且能保证工作时间。</w:t>
      </w:r>
    </w:p>
    <w:p w14:paraId="2F553B56">
      <w:pPr>
        <w:widowControl/>
        <w:overflowPunct w:val="0"/>
        <w:autoSpaceDE w:val="0"/>
        <w:autoSpaceDN w:val="0"/>
        <w:adjustRightInd w:val="0"/>
        <w:snapToGrid w:val="0"/>
        <w:spacing w:line="560" w:lineRule="exact"/>
        <w:ind w:firstLine="640" w:firstLineChars="200"/>
        <w:textAlignment w:val="baseline"/>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县级以上人民政府负责教育督导的机构可结合实际，在基本条件的基础上确定本级督学的任职条件。</w:t>
      </w:r>
    </w:p>
    <w:p w14:paraId="2FEFB572">
      <w:pPr>
        <w:widowControl/>
        <w:overflowPunct w:val="0"/>
        <w:adjustRightInd w:val="0"/>
        <w:snapToGrid w:val="0"/>
        <w:spacing w:line="560" w:lineRule="exact"/>
        <w:ind w:firstLine="640" w:firstLineChars="200"/>
        <w:textAlignment w:val="baseline"/>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第九条 省督学除具备第八条规定的基本条件外，还应具备以下条件之一：</w:t>
      </w:r>
    </w:p>
    <w:p w14:paraId="15AAF822">
      <w:pPr>
        <w:widowControl/>
        <w:overflowPunct w:val="0"/>
        <w:adjustRightInd w:val="0"/>
        <w:snapToGrid w:val="0"/>
        <w:spacing w:line="560" w:lineRule="exact"/>
        <w:ind w:firstLine="640" w:firstLineChars="200"/>
        <w:textAlignment w:val="baseline"/>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（一）具有县处级以上职级，政策理论水平高、领导经验丰富、驾驭全局能力强，在干部群众中威信高。</w:t>
      </w:r>
    </w:p>
    <w:p w14:paraId="4F9DC4DB">
      <w:pPr>
        <w:widowControl/>
        <w:overflowPunct w:val="0"/>
        <w:adjustRightInd w:val="0"/>
        <w:snapToGrid w:val="0"/>
        <w:spacing w:line="560" w:lineRule="exact"/>
        <w:ind w:firstLine="640" w:firstLineChars="200"/>
        <w:textAlignment w:val="baseline"/>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（二）在高校、教育科研部门、教育督导评估监测部门任职，具有正高级专业技术职称，</w:t>
      </w: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熟悉教育</w:t>
      </w: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工作，业务水平高。</w:t>
      </w:r>
    </w:p>
    <w:p w14:paraId="77AE5AEE">
      <w:pPr>
        <w:widowControl/>
        <w:overflowPunct w:val="0"/>
        <w:adjustRightInd w:val="0"/>
        <w:snapToGrid w:val="0"/>
        <w:spacing w:line="560" w:lineRule="exact"/>
        <w:ind w:firstLine="640" w:firstLineChars="200"/>
        <w:textAlignment w:val="baseline"/>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（三）在中小学（幼儿园）任职，具有正高级专业技术职称（教育教学管理或教学实绩特别突出的</w:t>
      </w: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幼儿园园长可放宽至副高级专业技术职</w:t>
      </w: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称）或省特级教师称号。</w:t>
      </w:r>
    </w:p>
    <w:p w14:paraId="72899CF4">
      <w:pPr>
        <w:widowControl/>
        <w:overflowPunct w:val="0"/>
        <w:adjustRightInd w:val="0"/>
        <w:snapToGrid w:val="0"/>
        <w:spacing w:line="560" w:lineRule="exact"/>
        <w:ind w:firstLine="640" w:firstLineChars="200"/>
        <w:textAlignment w:val="baseline"/>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（四）</w:t>
      </w: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宏观管理能力</w:t>
      </w: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强</w:t>
      </w: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、熟悉教育情况的正处级以上退休干部</w:t>
      </w: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w:t>
      </w:r>
    </w:p>
    <w:p w14:paraId="19668B61">
      <w:pPr>
        <w:widowControl/>
        <w:overflowPunct w:val="0"/>
        <w:adjustRightInd w:val="0"/>
        <w:snapToGrid w:val="0"/>
        <w:spacing w:line="560" w:lineRule="exact"/>
        <w:ind w:firstLine="640" w:firstLineChars="200"/>
        <w:textAlignment w:val="baseline"/>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（五）熟悉基层教育教学管理工作，具有较强</w:t>
      </w: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业务能力的县（市、区）教育行政部门主要负责同志</w:t>
      </w: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w:t>
      </w:r>
    </w:p>
    <w:p w14:paraId="4E58B93C">
      <w:pPr>
        <w:widowControl/>
        <w:overflowPunct w:val="0"/>
        <w:adjustRightInd w:val="0"/>
        <w:snapToGrid w:val="0"/>
        <w:spacing w:line="560" w:lineRule="exact"/>
        <w:ind w:firstLine="640" w:firstLineChars="200"/>
        <w:textAlignment w:val="baseline"/>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第十条 特约省督学除具备第八条规定的基本条件外，还应具备以下条件之一：</w:t>
      </w:r>
    </w:p>
    <w:p w14:paraId="00391296">
      <w:pPr>
        <w:widowControl/>
        <w:overflowPunct w:val="0"/>
        <w:adjustRightInd w:val="0"/>
        <w:snapToGrid w:val="0"/>
        <w:spacing w:line="560" w:lineRule="exact"/>
        <w:ind w:firstLine="640" w:firstLineChars="200"/>
        <w:textAlignment w:val="baseline"/>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（一）长期服务、支持教育事业的</w:t>
      </w: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省级部门相关处室负责人</w:t>
      </w: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w:t>
      </w:r>
    </w:p>
    <w:p w14:paraId="0369B9C0">
      <w:pPr>
        <w:widowControl/>
        <w:overflowPunct w:val="0"/>
        <w:adjustRightInd w:val="0"/>
        <w:snapToGrid w:val="0"/>
        <w:spacing w:line="560" w:lineRule="exact"/>
        <w:ind w:firstLine="640" w:firstLineChars="200"/>
        <w:textAlignment w:val="baseline"/>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（二）履职能力突出的设区市、县（市、区）教育行政部门教育督导、基础教育、教师、体卫艺、财务、安全保卫等相关科室负责人。</w:t>
      </w:r>
    </w:p>
    <w:p w14:paraId="5FD8A15C">
      <w:pPr>
        <w:widowControl/>
        <w:overflowPunct w:val="0"/>
        <w:adjustRightInd w:val="0"/>
        <w:snapToGrid w:val="0"/>
        <w:spacing w:line="560" w:lineRule="exact"/>
        <w:ind w:firstLine="640" w:firstLineChars="200"/>
        <w:textAlignment w:val="baseline"/>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（三）</w:t>
      </w: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熟悉教育工作的省人大代表和政协委员、民主党派</w:t>
      </w: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和无党派</w:t>
      </w: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人士</w:t>
      </w: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w:t>
      </w:r>
    </w:p>
    <w:p w14:paraId="5A45A989">
      <w:pPr>
        <w:widowControl/>
        <w:overflowPunct w:val="0"/>
        <w:adjustRightInd w:val="0"/>
        <w:snapToGrid w:val="0"/>
        <w:spacing w:line="560" w:lineRule="exact"/>
        <w:ind w:firstLine="640" w:firstLineChars="200"/>
        <w:textAlignment w:val="baseline"/>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（四）受省委宣传部、省委网信办推荐，</w:t>
      </w: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长期关心、支持教育的主流媒体记者</w:t>
      </w: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w:t>
      </w:r>
    </w:p>
    <w:p w14:paraId="0A8E5A38">
      <w:pPr>
        <w:widowControl/>
        <w:overflowPunct w:val="0"/>
        <w:adjustRightInd w:val="0"/>
        <w:snapToGrid w:val="0"/>
        <w:spacing w:line="560" w:lineRule="exact"/>
        <w:ind w:firstLine="640" w:firstLineChars="200"/>
        <w:textAlignment w:val="baseline"/>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（五）</w:t>
      </w: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部分往届省督学和</w:t>
      </w: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省教育</w:t>
      </w: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厅直属事业单位</w:t>
      </w: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副高级以上</w:t>
      </w: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专业技术人员。</w:t>
      </w:r>
    </w:p>
    <w:p w14:paraId="374C26D1">
      <w:pPr>
        <w:widowControl/>
        <w:overflowPunct w:val="0"/>
        <w:adjustRightInd w:val="0"/>
        <w:snapToGrid w:val="0"/>
        <w:spacing w:line="560" w:lineRule="exact"/>
        <w:ind w:firstLine="640" w:firstLineChars="200"/>
        <w:textAlignment w:val="baseline"/>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（六）能够积极参与省教育督导政策理论研究等活动，具备丰富的教育督导实践经验的专职督学。</w:t>
      </w:r>
    </w:p>
    <w:p w14:paraId="10A0B30A">
      <w:pPr>
        <w:widowControl/>
        <w:overflowPunct w:val="0"/>
        <w:autoSpaceDE w:val="0"/>
        <w:autoSpaceDN w:val="0"/>
        <w:adjustRightInd w:val="0"/>
        <w:snapToGrid w:val="0"/>
        <w:spacing w:line="560" w:lineRule="exact"/>
        <w:ind w:firstLine="640" w:firstLineChars="200"/>
        <w:textAlignment w:val="baseline"/>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第十一条</w:t>
      </w: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 xml:space="preserve"> </w:t>
      </w: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督学聘任按以下程序进行：</w:t>
      </w:r>
    </w:p>
    <w:p w14:paraId="06755CC8">
      <w:pPr>
        <w:widowControl/>
        <w:overflowPunct w:val="0"/>
        <w:autoSpaceDE w:val="0"/>
        <w:autoSpaceDN w:val="0"/>
        <w:adjustRightInd w:val="0"/>
        <w:snapToGrid w:val="0"/>
        <w:spacing w:line="560" w:lineRule="exact"/>
        <w:ind w:firstLine="640" w:firstLineChars="200"/>
        <w:textAlignment w:val="baseline"/>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（一）县级以上人民政府负责教育督导的机构根据相关规定及教育督导工作需要，拟定督学聘任方案。</w:t>
      </w:r>
    </w:p>
    <w:p w14:paraId="5F0922E1">
      <w:pPr>
        <w:widowControl/>
        <w:overflowPunct w:val="0"/>
        <w:autoSpaceDE w:val="0"/>
        <w:autoSpaceDN w:val="0"/>
        <w:adjustRightInd w:val="0"/>
        <w:snapToGrid w:val="0"/>
        <w:spacing w:line="560" w:lineRule="exact"/>
        <w:ind w:firstLine="640" w:firstLineChars="200"/>
        <w:textAlignment w:val="baseline"/>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（二）相关单位根据聘任方案确定的名额及要求，对照督学聘任条件进行推荐。</w:t>
      </w:r>
    </w:p>
    <w:p w14:paraId="47E110C9">
      <w:pPr>
        <w:widowControl/>
        <w:overflowPunct w:val="0"/>
        <w:autoSpaceDE w:val="0"/>
        <w:autoSpaceDN w:val="0"/>
        <w:adjustRightInd w:val="0"/>
        <w:snapToGrid w:val="0"/>
        <w:spacing w:line="560" w:lineRule="exact"/>
        <w:ind w:firstLine="640" w:firstLineChars="200"/>
        <w:textAlignment w:val="baseline"/>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（三）聘任单位对推荐名单进行审查、遴选。</w:t>
      </w:r>
    </w:p>
    <w:p w14:paraId="7F3AE9E2">
      <w:pPr>
        <w:widowControl/>
        <w:overflowPunct w:val="0"/>
        <w:autoSpaceDE w:val="0"/>
        <w:autoSpaceDN w:val="0"/>
        <w:adjustRightInd w:val="0"/>
        <w:snapToGrid w:val="0"/>
        <w:spacing w:line="560" w:lineRule="exact"/>
        <w:ind w:firstLine="640" w:firstLineChars="200"/>
        <w:textAlignment w:val="baseline"/>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（四）聘任单位将拟聘任人选名单向社会进行公示，公示期不得少于7个工作日。</w:t>
      </w:r>
    </w:p>
    <w:p w14:paraId="5C6524A4">
      <w:pPr>
        <w:widowControl/>
        <w:overflowPunct w:val="0"/>
        <w:autoSpaceDE w:val="0"/>
        <w:autoSpaceDN w:val="0"/>
        <w:adjustRightInd w:val="0"/>
        <w:snapToGrid w:val="0"/>
        <w:spacing w:line="560" w:lineRule="exact"/>
        <w:ind w:firstLine="640" w:firstLineChars="200"/>
        <w:textAlignment w:val="baseline"/>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（五）公示期满无异议，由聘任单位颁发聘书，聘任结果向上级教育督导机构报备并向社会公布。</w:t>
      </w:r>
    </w:p>
    <w:p w14:paraId="61ABB696">
      <w:pPr>
        <w:widowControl/>
        <w:overflowPunct w:val="0"/>
        <w:autoSpaceDE w:val="0"/>
        <w:autoSpaceDN w:val="0"/>
        <w:adjustRightInd w:val="0"/>
        <w:snapToGrid w:val="0"/>
        <w:spacing w:line="560" w:lineRule="exact"/>
        <w:jc w:val="left"/>
        <w:textAlignment w:val="baseline"/>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pPr>
    </w:p>
    <w:p w14:paraId="30D65DA8">
      <w:pPr>
        <w:widowControl/>
        <w:overflowPunct w:val="0"/>
        <w:autoSpaceDE w:val="0"/>
        <w:autoSpaceDN w:val="0"/>
        <w:adjustRightInd w:val="0"/>
        <w:snapToGrid w:val="0"/>
        <w:spacing w:before="101" w:line="560" w:lineRule="exact"/>
        <w:ind w:left="2976"/>
        <w:jc w:val="left"/>
        <w:textAlignment w:val="baseline"/>
        <w:outlineLvl w:val="0"/>
        <w:rPr>
          <w:rFonts w:hint="default" w:ascii="Times New Roman" w:hAnsi="Times New Roman" w:eastAsia="黑体" w:cs="Times New Roman"/>
          <w:snapToGrid w:val="0"/>
          <w:color w:val="000000" w:themeColor="text1"/>
          <w:kern w:val="0"/>
          <w:sz w:val="32"/>
          <w:szCs w:val="32"/>
          <w14:textFill>
            <w14:solidFill>
              <w14:schemeClr w14:val="tx1"/>
            </w14:solidFill>
          </w14:textFill>
        </w:rPr>
      </w:pPr>
      <w:r>
        <w:rPr>
          <w:rFonts w:hint="default" w:ascii="Times New Roman" w:hAnsi="Times New Roman" w:eastAsia="黑体" w:cs="Times New Roman"/>
          <w:snapToGrid w:val="0"/>
          <w:color w:val="000000" w:themeColor="text1"/>
          <w:spacing w:val="6"/>
          <w:kern w:val="0"/>
          <w:sz w:val="32"/>
          <w:szCs w:val="32"/>
          <w14:textFill>
            <w14:solidFill>
              <w14:schemeClr w14:val="tx1"/>
            </w14:solidFill>
          </w14:textFill>
        </w:rPr>
        <w:t>第三章  责权</w:t>
      </w:r>
    </w:p>
    <w:p w14:paraId="50961CB2">
      <w:pPr>
        <w:widowControl/>
        <w:overflowPunct w:val="0"/>
        <w:autoSpaceDE w:val="0"/>
        <w:autoSpaceDN w:val="0"/>
        <w:adjustRightInd w:val="0"/>
        <w:snapToGrid w:val="0"/>
        <w:spacing w:line="560" w:lineRule="exact"/>
        <w:ind w:firstLine="640" w:firstLineChars="200"/>
        <w:textAlignment w:val="baseline"/>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第十二条</w:t>
      </w: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 xml:space="preserve"> </w:t>
      </w: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督学在教育督导工作中，应当依据《教育督导条例》《江苏省教育督导条例》等规定，按照县级以上人民政府负责教育督导的机构的工作要求，主要履行以下职责：</w:t>
      </w:r>
    </w:p>
    <w:p w14:paraId="0063CEDF">
      <w:pPr>
        <w:widowControl/>
        <w:overflowPunct w:val="0"/>
        <w:autoSpaceDE w:val="0"/>
        <w:autoSpaceDN w:val="0"/>
        <w:adjustRightInd w:val="0"/>
        <w:snapToGrid w:val="0"/>
        <w:spacing w:line="560" w:lineRule="exact"/>
        <w:ind w:firstLine="640" w:firstLineChars="200"/>
        <w:textAlignment w:val="baseline"/>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（一）对党的教育方针、国家和地方教育法律、法规、规章及政策贯彻落实情况实施督导。</w:t>
      </w:r>
    </w:p>
    <w:p w14:paraId="1487563B">
      <w:pPr>
        <w:widowControl/>
        <w:overflowPunct w:val="0"/>
        <w:autoSpaceDE w:val="0"/>
        <w:autoSpaceDN w:val="0"/>
        <w:adjustRightInd w:val="0"/>
        <w:snapToGrid w:val="0"/>
        <w:spacing w:line="560" w:lineRule="exact"/>
        <w:ind w:firstLine="640" w:firstLineChars="200"/>
        <w:textAlignment w:val="baseline"/>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（二）对党中央国务院教育战略规划尤其是《教育强国建设规划纲要（2024—2035年）》任务部署和地方教育规划落地落实、有效推进情况实施督导。</w:t>
      </w:r>
    </w:p>
    <w:p w14:paraId="02B14B83">
      <w:pPr>
        <w:widowControl/>
        <w:overflowPunct w:val="0"/>
        <w:autoSpaceDE w:val="0"/>
        <w:autoSpaceDN w:val="0"/>
        <w:adjustRightInd w:val="0"/>
        <w:snapToGrid w:val="0"/>
        <w:spacing w:line="560" w:lineRule="exact"/>
        <w:ind w:firstLine="640" w:firstLineChars="200"/>
        <w:textAlignment w:val="baseline"/>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（三）对师生或群众反映的教育热点难点等问题实施督导。</w:t>
      </w:r>
    </w:p>
    <w:p w14:paraId="14227514">
      <w:pPr>
        <w:widowControl/>
        <w:overflowPunct w:val="0"/>
        <w:autoSpaceDE w:val="0"/>
        <w:autoSpaceDN w:val="0"/>
        <w:adjustRightInd w:val="0"/>
        <w:snapToGrid w:val="0"/>
        <w:spacing w:line="560" w:lineRule="exact"/>
        <w:ind w:firstLine="640" w:firstLineChars="200"/>
        <w:textAlignment w:val="baseline"/>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（四）对严重影响或损害师生安全、合法权益、教育教学秩序等突发事件及时督促处理并第一时间上报。</w:t>
      </w:r>
    </w:p>
    <w:p w14:paraId="1757D52F">
      <w:pPr>
        <w:widowControl/>
        <w:overflowPunct w:val="0"/>
        <w:autoSpaceDE w:val="0"/>
        <w:autoSpaceDN w:val="0"/>
        <w:adjustRightInd w:val="0"/>
        <w:snapToGrid w:val="0"/>
        <w:spacing w:line="560" w:lineRule="exact"/>
        <w:ind w:firstLine="640" w:firstLineChars="200"/>
        <w:textAlignment w:val="baseline"/>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（五）完成督导任务后，按规定程序报告有关情况，对教育决策提出咨询建议。</w:t>
      </w:r>
    </w:p>
    <w:p w14:paraId="5110275C">
      <w:pPr>
        <w:widowControl/>
        <w:overflowPunct w:val="0"/>
        <w:autoSpaceDE w:val="0"/>
        <w:autoSpaceDN w:val="0"/>
        <w:adjustRightInd w:val="0"/>
        <w:snapToGrid w:val="0"/>
        <w:spacing w:line="560" w:lineRule="exact"/>
        <w:ind w:firstLine="640" w:firstLineChars="200"/>
        <w:textAlignment w:val="baseline"/>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（六）完成人民政府负责教育督导的机构交办的其他工作。</w:t>
      </w:r>
    </w:p>
    <w:p w14:paraId="7F84E8FF">
      <w:pPr>
        <w:widowControl/>
        <w:overflowPunct w:val="0"/>
        <w:autoSpaceDE w:val="0"/>
        <w:autoSpaceDN w:val="0"/>
        <w:adjustRightInd w:val="0"/>
        <w:snapToGrid w:val="0"/>
        <w:spacing w:line="560" w:lineRule="exact"/>
        <w:ind w:firstLine="640" w:firstLineChars="200"/>
        <w:textAlignment w:val="baseline"/>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第十三条</w:t>
      </w: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 xml:space="preserve"> </w:t>
      </w: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督学实施教育督导时，可行使以下权利：</w:t>
      </w:r>
    </w:p>
    <w:p w14:paraId="497AAEB2">
      <w:pPr>
        <w:widowControl/>
        <w:overflowPunct w:val="0"/>
        <w:autoSpaceDE w:val="0"/>
        <w:autoSpaceDN w:val="0"/>
        <w:adjustRightInd w:val="0"/>
        <w:snapToGrid w:val="0"/>
        <w:spacing w:line="560" w:lineRule="exact"/>
        <w:ind w:firstLine="640" w:firstLineChars="200"/>
        <w:textAlignment w:val="baseline"/>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（一）就教育督导事项进入相关部门和学校开展调查。</w:t>
      </w:r>
    </w:p>
    <w:p w14:paraId="01077635">
      <w:pPr>
        <w:widowControl/>
        <w:overflowPunct w:val="0"/>
        <w:autoSpaceDE w:val="0"/>
        <w:autoSpaceDN w:val="0"/>
        <w:adjustRightInd w:val="0"/>
        <w:snapToGrid w:val="0"/>
        <w:spacing w:line="560" w:lineRule="exact"/>
        <w:ind w:firstLine="640" w:firstLineChars="200"/>
        <w:textAlignment w:val="baseline"/>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（二）听取被督导单位和有关人员情况介绍，查阅、复制与督导事项有关的文件、资料，参加相关活动，列席有关会议。</w:t>
      </w:r>
    </w:p>
    <w:p w14:paraId="62B660B9">
      <w:pPr>
        <w:widowControl/>
        <w:overflowPunct w:val="0"/>
        <w:autoSpaceDE w:val="0"/>
        <w:autoSpaceDN w:val="0"/>
        <w:adjustRightInd w:val="0"/>
        <w:snapToGrid w:val="0"/>
        <w:spacing w:line="560" w:lineRule="exact"/>
        <w:ind w:firstLine="640" w:firstLineChars="200"/>
        <w:textAlignment w:val="baseline"/>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（三）要求被督导单位就督导事项有关问题作出说明。</w:t>
      </w:r>
    </w:p>
    <w:p w14:paraId="7102B4BD">
      <w:pPr>
        <w:widowControl/>
        <w:overflowPunct w:val="0"/>
        <w:autoSpaceDE w:val="0"/>
        <w:autoSpaceDN w:val="0"/>
        <w:adjustRightInd w:val="0"/>
        <w:snapToGrid w:val="0"/>
        <w:spacing w:line="560" w:lineRule="exact"/>
        <w:ind w:firstLine="640" w:firstLineChars="200"/>
        <w:textAlignment w:val="baseline"/>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（四）</w:t>
      </w:r>
      <w:r>
        <w:rPr>
          <w:rFonts w:hint="default" w:ascii="Times New Roman" w:hAnsi="Times New Roman" w:eastAsia="仿宋_GB2312" w:cs="Times New Roman"/>
          <w:b w:val="0"/>
          <w:snapToGrid w:val="0"/>
          <w:color w:val="000000" w:themeColor="text1"/>
          <w:kern w:val="0"/>
          <w:sz w:val="32"/>
          <w:szCs w:val="32"/>
          <w14:textFill>
            <w14:solidFill>
              <w14:schemeClr w14:val="tx1"/>
            </w14:solidFill>
          </w14:textFill>
        </w:rPr>
        <w:t>采取约谈有关负责人等方式督促被督导单位及时整改，并对整改情况监督、检查</w:t>
      </w: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w:t>
      </w: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w:t>
      </w:r>
    </w:p>
    <w:p w14:paraId="03DEC715">
      <w:pPr>
        <w:widowControl/>
        <w:overflowPunct w:val="0"/>
        <w:autoSpaceDE w:val="0"/>
        <w:autoSpaceDN w:val="0"/>
        <w:adjustRightInd w:val="0"/>
        <w:snapToGrid w:val="0"/>
        <w:spacing w:line="560" w:lineRule="exact"/>
        <w:ind w:firstLine="640" w:firstLineChars="200"/>
        <w:textAlignment w:val="baseline"/>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pPr>
    </w:p>
    <w:p w14:paraId="6B1AFD9C">
      <w:pPr>
        <w:widowControl/>
        <w:overflowPunct w:val="0"/>
        <w:autoSpaceDE w:val="0"/>
        <w:autoSpaceDN w:val="0"/>
        <w:adjustRightInd w:val="0"/>
        <w:snapToGrid w:val="0"/>
        <w:spacing w:line="560" w:lineRule="exact"/>
        <w:jc w:val="center"/>
        <w:textAlignment w:val="baseline"/>
        <w:rPr>
          <w:rFonts w:hint="default" w:ascii="Times New Roman" w:hAnsi="Times New Roman" w:eastAsia="黑体" w:cs="Times New Roman"/>
          <w:snapToGrid w:val="0"/>
          <w:color w:val="000000" w:themeColor="text1"/>
          <w:kern w:val="0"/>
          <w:sz w:val="32"/>
          <w:szCs w:val="32"/>
          <w14:textFill>
            <w14:solidFill>
              <w14:schemeClr w14:val="tx1"/>
            </w14:solidFill>
          </w14:textFill>
        </w:rPr>
      </w:pPr>
      <w:r>
        <w:rPr>
          <w:rFonts w:hint="default" w:ascii="Times New Roman" w:hAnsi="Times New Roman" w:eastAsia="黑体" w:cs="Times New Roman"/>
          <w:snapToGrid w:val="0"/>
          <w:color w:val="000000" w:themeColor="text1"/>
          <w:kern w:val="0"/>
          <w:sz w:val="32"/>
          <w:szCs w:val="32"/>
          <w14:textFill>
            <w14:solidFill>
              <w14:schemeClr w14:val="tx1"/>
            </w14:solidFill>
          </w14:textFill>
        </w:rPr>
        <w:t>第四章  条件与保障</w:t>
      </w:r>
    </w:p>
    <w:p w14:paraId="3C5481E5">
      <w:pPr>
        <w:widowControl/>
        <w:overflowPunct w:val="0"/>
        <w:autoSpaceDE w:val="0"/>
        <w:autoSpaceDN w:val="0"/>
        <w:adjustRightInd w:val="0"/>
        <w:snapToGrid w:val="0"/>
        <w:spacing w:line="560" w:lineRule="exact"/>
        <w:ind w:firstLine="640" w:firstLineChars="200"/>
        <w:textAlignment w:val="baseline"/>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第十四条</w:t>
      </w: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 xml:space="preserve"> </w:t>
      </w: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县级以上人民政府负责教育督导的机构应当为督学开展教育督导工作提供必要的保障，督学开展教育督导工作产生的通讯、交通、食宿、劳务等费用，按照规定纳入教育督导经费列支。</w:t>
      </w:r>
    </w:p>
    <w:p w14:paraId="3A964D69">
      <w:pPr>
        <w:widowControl/>
        <w:overflowPunct w:val="0"/>
        <w:autoSpaceDE w:val="0"/>
        <w:autoSpaceDN w:val="0"/>
        <w:adjustRightInd w:val="0"/>
        <w:snapToGrid w:val="0"/>
        <w:spacing w:line="560" w:lineRule="exact"/>
        <w:ind w:firstLine="640" w:firstLineChars="200"/>
        <w:textAlignment w:val="baseline"/>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第十五条</w:t>
      </w: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 xml:space="preserve"> </w:t>
      </w: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县级以上人民政府及有关部门出台具体办法支持督学晋升职级或职称。</w:t>
      </w:r>
    </w:p>
    <w:p w14:paraId="31395022">
      <w:pPr>
        <w:widowControl/>
        <w:overflowPunct w:val="0"/>
        <w:autoSpaceDE w:val="0"/>
        <w:autoSpaceDN w:val="0"/>
        <w:adjustRightInd w:val="0"/>
        <w:snapToGrid w:val="0"/>
        <w:spacing w:line="560" w:lineRule="exact"/>
        <w:ind w:firstLine="640" w:firstLineChars="200"/>
        <w:textAlignment w:val="baseline"/>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具有专业技术职务的督学可以按照相应系列（专业）规定参加职称评审，开展教育督导形成的工作量和工作实绩计入职称评审工作量及学校年度教职工绩效考核。</w:t>
      </w:r>
    </w:p>
    <w:p w14:paraId="5C049F25">
      <w:pPr>
        <w:widowControl/>
        <w:overflowPunct w:val="0"/>
        <w:autoSpaceDE w:val="0"/>
        <w:autoSpaceDN w:val="0"/>
        <w:adjustRightInd w:val="0"/>
        <w:snapToGrid w:val="0"/>
        <w:spacing w:line="560" w:lineRule="exact"/>
        <w:ind w:firstLine="640" w:firstLineChars="200"/>
        <w:textAlignment w:val="baseline"/>
        <w:rPr>
          <w:rFonts w:hint="default" w:ascii="Times New Roman" w:hAnsi="Times New Roman" w:eastAsia="仿宋_GB2312" w:cs="Times New Roman"/>
          <w:b/>
          <w:bCs/>
          <w:snapToGrid w:val="0"/>
          <w:color w:val="000000" w:themeColor="text1"/>
          <w:kern w:val="0"/>
          <w:sz w:val="32"/>
          <w:szCs w:val="32"/>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鼓励有条件的地区探索督学梯级培养、名督学工作室等督学发展支持机制，促进督学队伍可持续发展。</w:t>
      </w:r>
    </w:p>
    <w:p w14:paraId="10A4E348">
      <w:pPr>
        <w:widowControl/>
        <w:overflowPunct w:val="0"/>
        <w:autoSpaceDE w:val="0"/>
        <w:autoSpaceDN w:val="0"/>
        <w:adjustRightInd w:val="0"/>
        <w:snapToGrid w:val="0"/>
        <w:spacing w:line="560" w:lineRule="exact"/>
        <w:ind w:firstLine="640" w:firstLineChars="200"/>
        <w:textAlignment w:val="baseline"/>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第十六条</w:t>
      </w: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 xml:space="preserve"> </w:t>
      </w: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县级以上人民政府负责教育督导的机构应当按规定将督学培训纳入年度计划，建立健全岗前培训和在岗培训制度。新聘督学上岗前应接受专业培训。重视</w:t>
      </w: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教育督导科学研究</w:t>
      </w: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，引导督学联系实际开展课题研究，切实提升专业化水平。</w:t>
      </w:r>
    </w:p>
    <w:p w14:paraId="1C8C1DAA">
      <w:pPr>
        <w:widowControl/>
        <w:overflowPunct w:val="0"/>
        <w:autoSpaceDE w:val="0"/>
        <w:autoSpaceDN w:val="0"/>
        <w:adjustRightInd w:val="0"/>
        <w:snapToGrid w:val="0"/>
        <w:spacing w:line="560" w:lineRule="exact"/>
        <w:ind w:firstLine="640" w:firstLineChars="200"/>
        <w:textAlignment w:val="baseline"/>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按照国家相关培训要求，结合地方实际，确定培训内容，培训可采取集中培训、网络学习和个人自学相结合的方式进行，注重运用跟岗实践、案例分析、实地观摩、情景模拟等培训方式。督学每年培训时间累积应不少于40学时，并计入专业技术人员年度继续教育学时。</w:t>
      </w:r>
    </w:p>
    <w:p w14:paraId="2BFA678E">
      <w:pPr>
        <w:widowControl/>
        <w:overflowPunct w:val="0"/>
        <w:autoSpaceDE w:val="0"/>
        <w:autoSpaceDN w:val="0"/>
        <w:adjustRightInd w:val="0"/>
        <w:snapToGrid w:val="0"/>
        <w:spacing w:line="560" w:lineRule="exact"/>
        <w:textAlignment w:val="baseline"/>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pPr>
    </w:p>
    <w:p w14:paraId="37A6EF03">
      <w:pPr>
        <w:widowControl/>
        <w:overflowPunct w:val="0"/>
        <w:autoSpaceDE w:val="0"/>
        <w:autoSpaceDN w:val="0"/>
        <w:adjustRightInd w:val="0"/>
        <w:snapToGrid w:val="0"/>
        <w:spacing w:line="560" w:lineRule="exact"/>
        <w:jc w:val="center"/>
        <w:textAlignment w:val="baseline"/>
        <w:rPr>
          <w:rFonts w:hint="default" w:ascii="Times New Roman" w:hAnsi="Times New Roman" w:eastAsia="黑体" w:cs="Times New Roman"/>
          <w:snapToGrid w:val="0"/>
          <w:color w:val="000000" w:themeColor="text1"/>
          <w:kern w:val="0"/>
          <w:sz w:val="32"/>
          <w:szCs w:val="32"/>
          <w14:textFill>
            <w14:solidFill>
              <w14:schemeClr w14:val="tx1"/>
            </w14:solidFill>
          </w14:textFill>
        </w:rPr>
      </w:pPr>
      <w:r>
        <w:rPr>
          <w:rFonts w:hint="default" w:ascii="Times New Roman" w:hAnsi="Times New Roman" w:eastAsia="黑体" w:cs="Times New Roman"/>
          <w:snapToGrid w:val="0"/>
          <w:color w:val="000000" w:themeColor="text1"/>
          <w:kern w:val="0"/>
          <w:sz w:val="32"/>
          <w:szCs w:val="32"/>
          <w14:textFill>
            <w14:solidFill>
              <w14:schemeClr w14:val="tx1"/>
            </w14:solidFill>
          </w14:textFill>
        </w:rPr>
        <w:t>第五章  管理与考核</w:t>
      </w:r>
    </w:p>
    <w:p w14:paraId="3DE0A182">
      <w:pPr>
        <w:widowControl/>
        <w:overflowPunct w:val="0"/>
        <w:autoSpaceDE w:val="0"/>
        <w:autoSpaceDN w:val="0"/>
        <w:adjustRightInd w:val="0"/>
        <w:snapToGrid w:val="0"/>
        <w:spacing w:line="560" w:lineRule="exact"/>
        <w:ind w:firstLine="640" w:firstLineChars="200"/>
        <w:textAlignment w:val="baseline"/>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第十七条</w:t>
      </w: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 xml:space="preserve"> </w:t>
      </w: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县级以上人民政府负责教育督导的机构对督学实施动态管理，依托教育督导信息化平台建立督学管理库，登记督学的个人基础信息、专业特长，分配督导任务，记录培训考核等信息。</w:t>
      </w:r>
    </w:p>
    <w:p w14:paraId="23145C62">
      <w:pPr>
        <w:widowControl/>
        <w:overflowPunct w:val="0"/>
        <w:autoSpaceDE w:val="0"/>
        <w:autoSpaceDN w:val="0"/>
        <w:adjustRightInd w:val="0"/>
        <w:snapToGrid w:val="0"/>
        <w:spacing w:line="560" w:lineRule="exact"/>
        <w:ind w:firstLine="640" w:firstLineChars="200"/>
        <w:textAlignment w:val="baseline"/>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第十八条</w:t>
      </w: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 xml:space="preserve"> </w:t>
      </w: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督学与被督导对象的关系可能影响客观公正实施教育督导的，督学应当主动回避。督学应主动公开联系方式和督导事项等，方便社会了解督导工作情况，广泛接受社会监督。督学开展教育督导工作，须向被督导单位出示督学证。</w:t>
      </w:r>
    </w:p>
    <w:p w14:paraId="084A5FE3">
      <w:pPr>
        <w:widowControl/>
        <w:overflowPunct w:val="0"/>
        <w:autoSpaceDE w:val="0"/>
        <w:autoSpaceDN w:val="0"/>
        <w:adjustRightInd w:val="0"/>
        <w:snapToGrid w:val="0"/>
        <w:spacing w:line="560" w:lineRule="exact"/>
        <w:ind w:firstLine="640" w:firstLineChars="200"/>
        <w:textAlignment w:val="baseline"/>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第十九条</w:t>
      </w:r>
      <w:r>
        <w:rPr>
          <w:rFonts w:hint="default" w:ascii="Times New Roman" w:hAnsi="Times New Roman" w:eastAsia="仿宋_GB2312" w:cs="Times New Roman"/>
          <w:b/>
          <w:snapToGrid w:val="0"/>
          <w:color w:val="000000" w:themeColor="text1"/>
          <w:kern w:val="0"/>
          <w:sz w:val="32"/>
          <w:szCs w:val="32"/>
          <w14:textFill>
            <w14:solidFill>
              <w14:schemeClr w14:val="tx1"/>
            </w14:solidFill>
          </w14:textFill>
        </w:rPr>
        <w:t xml:space="preserve"> </w:t>
      </w: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县级以上人民政府负责教育督导的机构负责本级督学年度考核和任期考核，对专职督学、兼职督学进行分类考核，并结合本地实际制定具体考核标准。对考核优秀的督学按相应规定给予表彰奖励，并存档备案。</w:t>
      </w:r>
    </w:p>
    <w:p w14:paraId="79FD8A07">
      <w:pPr>
        <w:widowControl/>
        <w:overflowPunct w:val="0"/>
        <w:autoSpaceDE w:val="0"/>
        <w:autoSpaceDN w:val="0"/>
        <w:adjustRightInd w:val="0"/>
        <w:snapToGrid w:val="0"/>
        <w:spacing w:line="560" w:lineRule="exact"/>
        <w:ind w:firstLine="640" w:firstLineChars="200"/>
        <w:textAlignment w:val="baseline"/>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第二十条</w:t>
      </w:r>
      <w:r>
        <w:rPr>
          <w:rFonts w:hint="default" w:ascii="Times New Roman" w:hAnsi="Times New Roman" w:eastAsia="仿宋_GB2312" w:cs="Times New Roman"/>
          <w:b/>
          <w:snapToGrid w:val="0"/>
          <w:color w:val="000000" w:themeColor="text1"/>
          <w:kern w:val="0"/>
          <w:sz w:val="32"/>
          <w:szCs w:val="32"/>
          <w14:textFill>
            <w14:solidFill>
              <w14:schemeClr w14:val="tx1"/>
            </w14:solidFill>
          </w14:textFill>
        </w:rPr>
        <w:t xml:space="preserve"> </w:t>
      </w: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督学有下列情形之一的，教育督导机构予以解聘或者按照干部管理权限报请免除任命：</w:t>
      </w:r>
    </w:p>
    <w:p w14:paraId="0D454242">
      <w:pPr>
        <w:widowControl/>
        <w:overflowPunct w:val="0"/>
        <w:autoSpaceDE w:val="0"/>
        <w:autoSpaceDN w:val="0"/>
        <w:adjustRightInd w:val="0"/>
        <w:snapToGrid w:val="0"/>
        <w:spacing w:line="560" w:lineRule="exact"/>
        <w:ind w:firstLine="640" w:firstLineChars="200"/>
        <w:textAlignment w:val="baseline"/>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（一）无正当理由不履行督学职责的。</w:t>
      </w:r>
    </w:p>
    <w:p w14:paraId="1A3E3DE3">
      <w:pPr>
        <w:widowControl/>
        <w:overflowPunct w:val="0"/>
        <w:autoSpaceDE w:val="0"/>
        <w:autoSpaceDN w:val="0"/>
        <w:adjustRightInd w:val="0"/>
        <w:snapToGrid w:val="0"/>
        <w:spacing w:line="560" w:lineRule="exact"/>
        <w:ind w:firstLine="640" w:firstLineChars="200"/>
        <w:textAlignment w:val="baseline"/>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（二）因个人不当行为影响督导结果公平公正造成恶劣影响的。</w:t>
      </w:r>
    </w:p>
    <w:p w14:paraId="591B578C">
      <w:pPr>
        <w:widowControl/>
        <w:overflowPunct w:val="0"/>
        <w:autoSpaceDE w:val="0"/>
        <w:autoSpaceDN w:val="0"/>
        <w:adjustRightInd w:val="0"/>
        <w:snapToGrid w:val="0"/>
        <w:spacing w:line="560" w:lineRule="exact"/>
        <w:ind w:firstLine="640" w:firstLineChars="200"/>
        <w:textAlignment w:val="baseline"/>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（三）年度考核不合格或任期履职考核不称职的。</w:t>
      </w:r>
    </w:p>
    <w:p w14:paraId="7E8C5953">
      <w:pPr>
        <w:widowControl/>
        <w:overflowPunct w:val="0"/>
        <w:autoSpaceDE w:val="0"/>
        <w:autoSpaceDN w:val="0"/>
        <w:adjustRightInd w:val="0"/>
        <w:snapToGrid w:val="0"/>
        <w:spacing w:line="560" w:lineRule="exact"/>
        <w:ind w:firstLine="640" w:firstLineChars="200"/>
        <w:textAlignment w:val="baseline"/>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（四）受到党纪政务处分、刑事处罚的。</w:t>
      </w:r>
    </w:p>
    <w:p w14:paraId="7890EA72">
      <w:pPr>
        <w:widowControl/>
        <w:overflowPunct w:val="0"/>
        <w:autoSpaceDE w:val="0"/>
        <w:autoSpaceDN w:val="0"/>
        <w:adjustRightInd w:val="0"/>
        <w:snapToGrid w:val="0"/>
        <w:spacing w:line="560" w:lineRule="exact"/>
        <w:ind w:firstLine="640" w:firstLineChars="200"/>
        <w:textAlignment w:val="baseline"/>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（五）有其他原因不宜继续担任督学的。</w:t>
      </w:r>
    </w:p>
    <w:p w14:paraId="7D9FE4B5">
      <w:pPr>
        <w:widowControl/>
        <w:overflowPunct w:val="0"/>
        <w:autoSpaceDE w:val="0"/>
        <w:autoSpaceDN w:val="0"/>
        <w:adjustRightInd w:val="0"/>
        <w:snapToGrid w:val="0"/>
        <w:spacing w:line="560" w:lineRule="exact"/>
        <w:ind w:firstLine="640" w:firstLineChars="200"/>
        <w:textAlignment w:val="baseline"/>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第二十一条</w:t>
      </w:r>
      <w:r>
        <w:rPr>
          <w:rFonts w:hint="default" w:ascii="Times New Roman" w:hAnsi="Times New Roman" w:eastAsia="仿宋_GB2312" w:cs="Times New Roman"/>
          <w:b/>
          <w:snapToGrid w:val="0"/>
          <w:color w:val="000000" w:themeColor="text1"/>
          <w:kern w:val="0"/>
          <w:sz w:val="32"/>
          <w:szCs w:val="32"/>
          <w14:textFill>
            <w14:solidFill>
              <w14:schemeClr w14:val="tx1"/>
            </w14:solidFill>
          </w14:textFill>
        </w:rPr>
        <w:t xml:space="preserve"> </w:t>
      </w: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督学存在玩忽职守、徇私舞弊、滥用职权等情形的，按照《江苏省教育督导条例》《教育督导问责办法》等有关规定进行问责。构成解聘情形的，依照第二十条规定处理。</w:t>
      </w:r>
    </w:p>
    <w:p w14:paraId="31A50415">
      <w:pPr>
        <w:widowControl/>
        <w:overflowPunct w:val="0"/>
        <w:autoSpaceDE w:val="0"/>
        <w:autoSpaceDN w:val="0"/>
        <w:adjustRightInd w:val="0"/>
        <w:snapToGrid w:val="0"/>
        <w:spacing w:line="560" w:lineRule="exact"/>
        <w:ind w:firstLine="640" w:firstLineChars="200"/>
        <w:textAlignment w:val="baseline"/>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第二十二条</w:t>
      </w: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 xml:space="preserve"> </w:t>
      </w: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督学因个人原因不能正常履职的，须书面请辞，聘任单位于30日内批准。解聘督学时，要向所在单位通报，并以书面形式通知本人。</w:t>
      </w:r>
    </w:p>
    <w:p w14:paraId="7C9967F0">
      <w:pPr>
        <w:widowControl/>
        <w:overflowPunct w:val="0"/>
        <w:autoSpaceDE w:val="0"/>
        <w:autoSpaceDN w:val="0"/>
        <w:adjustRightInd w:val="0"/>
        <w:snapToGrid w:val="0"/>
        <w:spacing w:line="560" w:lineRule="exact"/>
        <w:ind w:firstLine="640" w:firstLineChars="200"/>
        <w:textAlignment w:val="baseline"/>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pPr>
    </w:p>
    <w:p w14:paraId="6D73A321">
      <w:pPr>
        <w:widowControl/>
        <w:overflowPunct w:val="0"/>
        <w:autoSpaceDE w:val="0"/>
        <w:autoSpaceDN w:val="0"/>
        <w:adjustRightInd w:val="0"/>
        <w:snapToGrid w:val="0"/>
        <w:spacing w:line="560" w:lineRule="exact"/>
        <w:jc w:val="center"/>
        <w:textAlignment w:val="baseline"/>
        <w:rPr>
          <w:rFonts w:hint="default" w:ascii="Times New Roman" w:hAnsi="Times New Roman" w:eastAsia="黑体" w:cs="Times New Roman"/>
          <w:snapToGrid w:val="0"/>
          <w:color w:val="000000" w:themeColor="text1"/>
          <w:kern w:val="0"/>
          <w:sz w:val="32"/>
          <w:szCs w:val="32"/>
          <w14:textFill>
            <w14:solidFill>
              <w14:schemeClr w14:val="tx1"/>
            </w14:solidFill>
          </w14:textFill>
        </w:rPr>
      </w:pPr>
      <w:r>
        <w:rPr>
          <w:rFonts w:hint="default" w:ascii="Times New Roman" w:hAnsi="Times New Roman" w:eastAsia="黑体" w:cs="Times New Roman"/>
          <w:snapToGrid w:val="0"/>
          <w:color w:val="000000" w:themeColor="text1"/>
          <w:kern w:val="0"/>
          <w:sz w:val="32"/>
          <w:szCs w:val="32"/>
          <w14:textFill>
            <w14:solidFill>
              <w14:schemeClr w14:val="tx1"/>
            </w14:solidFill>
          </w14:textFill>
        </w:rPr>
        <w:t>第六章  附  则</w:t>
      </w:r>
    </w:p>
    <w:p w14:paraId="2B4996AF">
      <w:pPr>
        <w:widowControl/>
        <w:overflowPunct w:val="0"/>
        <w:autoSpaceDE w:val="0"/>
        <w:autoSpaceDN w:val="0"/>
        <w:adjustRightInd w:val="0"/>
        <w:snapToGrid w:val="0"/>
        <w:spacing w:line="560" w:lineRule="exact"/>
        <w:ind w:firstLine="640" w:firstLineChars="200"/>
        <w:textAlignment w:val="baseline"/>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第二十三条</w:t>
      </w: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 xml:space="preserve"> </w:t>
      </w: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县级以上人民政府负责教育督导的机构可根据本办法，结合本地实际，制定具体实施细则，并报上一级教育督导机构备案。结合工作需要，制定本级督学聘任实施工作方案。</w:t>
      </w:r>
    </w:p>
    <w:p w14:paraId="20689951">
      <w:pPr>
        <w:widowControl/>
        <w:overflowPunct w:val="0"/>
        <w:autoSpaceDE w:val="0"/>
        <w:autoSpaceDN w:val="0"/>
        <w:adjustRightInd w:val="0"/>
        <w:snapToGrid w:val="0"/>
        <w:spacing w:line="560" w:lineRule="exact"/>
        <w:ind w:firstLine="640" w:firstLineChars="200"/>
        <w:textAlignment w:val="baseline"/>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第二十四条</w:t>
      </w:r>
      <w:r>
        <w:rPr>
          <w:rFonts w:hint="default" w:ascii="Times New Roman" w:hAnsi="Times New Roman" w:eastAsia="仿宋_GB2312" w:cs="Times New Roman"/>
          <w:b/>
          <w:snapToGrid w:val="0"/>
          <w:color w:val="000000" w:themeColor="text1"/>
          <w:kern w:val="0"/>
          <w:sz w:val="32"/>
          <w:szCs w:val="32"/>
          <w14:textFill>
            <w14:solidFill>
              <w14:schemeClr w14:val="tx1"/>
            </w14:solidFill>
          </w14:textFill>
        </w:rPr>
        <w:t xml:space="preserve"> </w:t>
      </w: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本办法自公布之日起施行。原《江苏省督学管理办法（试行）》同时废止。</w:t>
      </w:r>
    </w:p>
    <w:p w14:paraId="4230F713">
      <w:pPr>
        <w:widowControl/>
        <w:overflowPunct w:val="0"/>
        <w:autoSpaceDE w:val="0"/>
        <w:autoSpaceDN w:val="0"/>
        <w:adjustRightInd w:val="0"/>
        <w:snapToGrid w:val="0"/>
        <w:spacing w:line="560" w:lineRule="exact"/>
        <w:ind w:firstLine="640" w:firstLineChars="200"/>
        <w:textAlignment w:val="baseline"/>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第二十五条</w:t>
      </w: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 xml:space="preserve"> </w:t>
      </w:r>
      <w:r>
        <w:rPr>
          <w:rFonts w:hint="default" w:ascii="Times New Roman" w:hAnsi="Times New Roman" w:eastAsia="仿宋_GB2312" w:cs="Times New Roman"/>
          <w:snapToGrid w:val="0"/>
          <w:color w:val="000000" w:themeColor="text1"/>
          <w:kern w:val="0"/>
          <w:sz w:val="32"/>
          <w:szCs w:val="32"/>
          <w14:textFill>
            <w14:solidFill>
              <w14:schemeClr w14:val="tx1"/>
            </w14:solidFill>
          </w14:textFill>
        </w:rPr>
        <w:t>本办法由江苏省教育厅教育督导室负责解释。</w:t>
      </w:r>
    </w:p>
    <w:sectPr>
      <w:headerReference r:id="rId3" w:type="default"/>
      <w:footerReference r:id="rId4" w:type="default"/>
      <w:pgSz w:w="11907" w:h="16839"/>
      <w:pgMar w:top="2098" w:right="1474" w:bottom="1984" w:left="1587" w:header="0" w:footer="932"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 w:name="方正小标宋_GBK">
    <w:panose1 w:val="03000509000000000000"/>
    <w:charset w:val="86"/>
    <w:family w:val="script"/>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76797996"/>
    </w:sdtPr>
    <w:sdtContent>
      <w:p w14:paraId="0179029C">
        <w:pPr>
          <w:pStyle w:val="6"/>
          <w:jc w:val="center"/>
        </w:pPr>
        <w:r>
          <w:fldChar w:fldCharType="begin"/>
        </w:r>
        <w:r>
          <w:instrText xml:space="preserve">PAGE   \* MERGEFORMAT</w:instrText>
        </w:r>
        <w:r>
          <w:fldChar w:fldCharType="separate"/>
        </w:r>
        <w:r>
          <w:rPr>
            <w:lang w:val="zh-CN"/>
          </w:rPr>
          <w:t>8</w:t>
        </w:r>
        <w:r>
          <w:fldChar w:fldCharType="end"/>
        </w:r>
      </w:p>
    </w:sdtContent>
  </w:sdt>
  <w:p w14:paraId="609E97BB">
    <w:pPr>
      <w:spacing w:line="233" w:lineRule="auto"/>
      <w:ind w:left="7762"/>
      <w:rPr>
        <w:rFonts w:ascii="宋体" w:hAnsi="宋体" w:eastAsia="宋体" w:cs="宋体"/>
        <w:sz w:val="28"/>
        <w:szCs w:val="2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9622DD">
    <w:pPr>
      <w:pStyle w:val="4"/>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EFC"/>
    <w:rsid w:val="00040CAF"/>
    <w:rsid w:val="00053547"/>
    <w:rsid w:val="00056B62"/>
    <w:rsid w:val="00184715"/>
    <w:rsid w:val="0019589E"/>
    <w:rsid w:val="001A583C"/>
    <w:rsid w:val="001E5D13"/>
    <w:rsid w:val="001F683C"/>
    <w:rsid w:val="00222840"/>
    <w:rsid w:val="00225BEB"/>
    <w:rsid w:val="00243010"/>
    <w:rsid w:val="002A720C"/>
    <w:rsid w:val="002B304C"/>
    <w:rsid w:val="003151B5"/>
    <w:rsid w:val="00332EEE"/>
    <w:rsid w:val="00332FD1"/>
    <w:rsid w:val="003C6E0E"/>
    <w:rsid w:val="004C0182"/>
    <w:rsid w:val="004C16FF"/>
    <w:rsid w:val="00587B30"/>
    <w:rsid w:val="00626344"/>
    <w:rsid w:val="006948DA"/>
    <w:rsid w:val="006B69B6"/>
    <w:rsid w:val="007830C5"/>
    <w:rsid w:val="00787EFC"/>
    <w:rsid w:val="0082420B"/>
    <w:rsid w:val="008363DB"/>
    <w:rsid w:val="0088195C"/>
    <w:rsid w:val="00962A81"/>
    <w:rsid w:val="00986A95"/>
    <w:rsid w:val="009B0C9E"/>
    <w:rsid w:val="00A6081F"/>
    <w:rsid w:val="00B67979"/>
    <w:rsid w:val="00CD1D0A"/>
    <w:rsid w:val="00CF0742"/>
    <w:rsid w:val="00D45305"/>
    <w:rsid w:val="00D50F46"/>
    <w:rsid w:val="00DA0B08"/>
    <w:rsid w:val="00DB1F4D"/>
    <w:rsid w:val="00E07A7C"/>
    <w:rsid w:val="00E1598C"/>
    <w:rsid w:val="00E73467"/>
    <w:rsid w:val="00F17D9C"/>
    <w:rsid w:val="00F3095B"/>
    <w:rsid w:val="00F646C5"/>
    <w:rsid w:val="00F8588D"/>
    <w:rsid w:val="00FB64F0"/>
    <w:rsid w:val="02337D11"/>
    <w:rsid w:val="07CD6512"/>
    <w:rsid w:val="0A4114B9"/>
    <w:rsid w:val="0A6273E5"/>
    <w:rsid w:val="0A8530D4"/>
    <w:rsid w:val="152F6006"/>
    <w:rsid w:val="19D11E91"/>
    <w:rsid w:val="20314EA7"/>
    <w:rsid w:val="336A2011"/>
    <w:rsid w:val="375B3001"/>
    <w:rsid w:val="38E76B84"/>
    <w:rsid w:val="3BCA6218"/>
    <w:rsid w:val="4AC80870"/>
    <w:rsid w:val="4C47228F"/>
    <w:rsid w:val="519D2153"/>
    <w:rsid w:val="53D360B5"/>
    <w:rsid w:val="5CD46BFA"/>
    <w:rsid w:val="61A73923"/>
    <w:rsid w:val="63161C90"/>
    <w:rsid w:val="636C46FC"/>
    <w:rsid w:val="637F2C88"/>
    <w:rsid w:val="66AB1D65"/>
    <w:rsid w:val="67042D1C"/>
    <w:rsid w:val="7E0230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semiHidden="0"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unhideWhenUsed/>
    <w:qFormat/>
    <w:uiPriority w:val="9"/>
    <w:pPr>
      <w:keepNext/>
      <w:keepLines/>
      <w:spacing w:before="280" w:after="290" w:line="372" w:lineRule="auto"/>
      <w:outlineLvl w:val="3"/>
    </w:pPr>
    <w:rPr>
      <w:rFonts w:ascii="Arial" w:hAnsi="Arial" w:eastAsia="黑体"/>
      <w:b/>
      <w:sz w:val="28"/>
    </w:rPr>
  </w:style>
  <w:style w:type="paragraph" w:styleId="3">
    <w:name w:val="heading 5"/>
    <w:basedOn w:val="1"/>
    <w:next w:val="1"/>
    <w:unhideWhenUsed/>
    <w:qFormat/>
    <w:uiPriority w:val="9"/>
    <w:pPr>
      <w:keepNext/>
      <w:keepLines/>
      <w:spacing w:before="280" w:after="290" w:line="372" w:lineRule="auto"/>
      <w:outlineLvl w:val="4"/>
    </w:pPr>
    <w:rPr>
      <w:b/>
      <w:sz w:val="28"/>
    </w:rPr>
  </w:style>
  <w:style w:type="character" w:default="1" w:styleId="9">
    <w:name w:val="Default Paragraph Font"/>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4">
    <w:name w:val="Body Text"/>
    <w:basedOn w:val="1"/>
    <w:link w:val="10"/>
    <w:semiHidden/>
    <w:unhideWhenUsed/>
    <w:qFormat/>
    <w:uiPriority w:val="99"/>
    <w:pPr>
      <w:spacing w:after="120"/>
    </w:pPr>
  </w:style>
  <w:style w:type="paragraph" w:styleId="5">
    <w:name w:val="Balloon Text"/>
    <w:basedOn w:val="1"/>
    <w:link w:val="13"/>
    <w:semiHidden/>
    <w:unhideWhenUsed/>
    <w:qFormat/>
    <w:uiPriority w:val="99"/>
    <w:rPr>
      <w:sz w:val="18"/>
      <w:szCs w:val="18"/>
    </w:rPr>
  </w:style>
  <w:style w:type="paragraph" w:styleId="6">
    <w:name w:val="footer"/>
    <w:basedOn w:val="1"/>
    <w:link w:val="12"/>
    <w:unhideWhenUsed/>
    <w:qFormat/>
    <w:uiPriority w:val="99"/>
    <w:pPr>
      <w:tabs>
        <w:tab w:val="center" w:pos="4153"/>
        <w:tab w:val="right" w:pos="8306"/>
      </w:tabs>
      <w:snapToGrid w:val="0"/>
      <w:jc w:val="left"/>
    </w:pPr>
    <w:rPr>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正文文本 字符"/>
    <w:basedOn w:val="9"/>
    <w:link w:val="4"/>
    <w:semiHidden/>
    <w:qFormat/>
    <w:uiPriority w:val="99"/>
  </w:style>
  <w:style w:type="character" w:customStyle="1" w:styleId="11">
    <w:name w:val="页眉 字符"/>
    <w:basedOn w:val="9"/>
    <w:link w:val="7"/>
    <w:qFormat/>
    <w:uiPriority w:val="99"/>
    <w:rPr>
      <w:sz w:val="18"/>
      <w:szCs w:val="18"/>
    </w:rPr>
  </w:style>
  <w:style w:type="character" w:customStyle="1" w:styleId="12">
    <w:name w:val="页脚 字符"/>
    <w:basedOn w:val="9"/>
    <w:link w:val="6"/>
    <w:qFormat/>
    <w:uiPriority w:val="99"/>
    <w:rPr>
      <w:sz w:val="18"/>
      <w:szCs w:val="18"/>
    </w:rPr>
  </w:style>
  <w:style w:type="character" w:customStyle="1" w:styleId="13">
    <w:name w:val="批注框文本 字符"/>
    <w:basedOn w:val="9"/>
    <w:link w:val="5"/>
    <w:semiHidden/>
    <w:qFormat/>
    <w:uiPriority w:val="99"/>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ontractReview xmlns="http://schemas.wps.cn/vas-ai-hub/contract-review">
  <reviewItems>
    <reviewItem>
      <errorID>f7ea4988-dbfa-443b-8ee7-fb2f841bdd92</errorID>
      <errorWord>法律、法规</errorWord>
      <group>L1_Word</group>
      <groupName>字词问题</groupName>
      <ability>L2_Typo</ability>
      <abilityName>字词错误</abilityName>
      <candidateList>
        <item>法律法规</item>
      </candidateList>
      <explain/>
      <paraID>69054155</paraID>
      <start>7</start>
      <end>12</end>
      <status>ignored</status>
      <modifiedWord/>
      <trackRevisions>false</trackRevisions>
    </reviewItem>
    <reviewItem>
      <errorID>b287ccbf-3e79-4652-a2d3-10ed683da2b8</errorID>
      <errorWord>法律、法规</errorWord>
      <group>L1_Word</group>
      <groupName>字词问题</groupName>
      <ability>L2_Typo</ability>
      <abilityName>字词错误</abilityName>
      <candidateList>
        <item>法律法规</item>
      </candidateList>
      <explain/>
      <paraID>  63CEDF</paraID>
      <start>18</start>
      <end>23</end>
      <status>ignored</status>
      <modifiedWord/>
      <trackRevisions>false</trackRevisions>
    </reviewItem>
  </reviewItems>
  <config/>
</contractReview>
</file>

<file path=customXml/itemProps1.xml><?xml version="1.0" encoding="utf-8"?>
<ds:datastoreItem xmlns:ds="http://schemas.openxmlformats.org/officeDocument/2006/customXml" ds:itemID="{CDD53D4F-17F3-4BE5-ADF6-AE7AFE66B6DF}">
  <ds:schemaRefs/>
</ds:datastoreItem>
</file>

<file path=customXml/itemProps2.xml><?xml version="1.0" encoding="utf-8"?>
<ds:datastoreItem xmlns:ds="http://schemas.openxmlformats.org/officeDocument/2006/customXml" ds:itemID="{126D4622-3CC9-41FE-BE30-3DE46C08C477}">
  <ds:schemaRefs/>
</ds:datastoreItem>
</file>

<file path=docProps/app.xml><?xml version="1.0" encoding="utf-8"?>
<Properties xmlns="http://schemas.openxmlformats.org/officeDocument/2006/extended-properties" xmlns:vt="http://schemas.openxmlformats.org/officeDocument/2006/docPropsVTypes">
  <Template>Normal</Template>
  <Company>江苏省教育厅</Company>
  <Pages>8</Pages>
  <Words>3492</Words>
  <Characters>3510</Characters>
  <Lines>25</Lines>
  <Paragraphs>7</Paragraphs>
  <TotalTime>72</TotalTime>
  <ScaleCrop>false</ScaleCrop>
  <LinksUpToDate>false</LinksUpToDate>
  <CharactersWithSpaces>3553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2026-08-11T00:49:00Z</dcterms:created>
  <dc:creator>JSJYT-PC</dc:creator>
  <cp:lastModifiedBy>江苏</cp:lastModifiedBy>
  <dcterms:modified xsi:type="dcterms:W3CDTF">2026-09-17T01:09:54Z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eyJoZGlkIjoiMTJkMjg2NWIxODA1YzljMTBjNTA4NmVlMzI4ZTRhZTMiLCJ1c2VySWQiOiI0MTA0NDM4OTMifQ==</vt:lpwstr>
  </property>
  <property fmtid="{D5CDD505-2E9C-101B-9397-08002B2CF9AE}" pid="3" name="KSOProductBuildVer">
    <vt:lpwstr>2052-12.1.0.28505</vt:lpwstr>
  </property>
  <property fmtid="{D5CDD505-2E9C-101B-9397-08002B2CF9AE}" pid="4" name="ICV">
    <vt:lpwstr>93E83EB323334040975FEE2C9DCC91C6_13</vt:lpwstr>
  </property>
</Properties>
</file>