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jpeg" ContentType="image/jpeg"/>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1200" w:lineRule="exact"/>
        <w:jc w:val="center"/>
        <w:rPr>
          <w:rFonts w:ascii="方正小标宋简体" w:eastAsia="方正小标宋简体" w:cs="方正小标宋简体"/>
          <w:bCs/>
          <w:sz w:val="52"/>
          <w:szCs w:val="52"/>
        </w:rPr>
      </w:pPr>
      <w:bookmarkStart w:id="0" w:name="_Toc31904_WPSOffice_Level1"/>
      <w:r>
        <w:rPr>
          <w:rFonts w:ascii="方正小标宋简体" w:eastAsia="方正小标宋简体" w:cs="方正小标宋简体" w:hint="eastAsia"/>
          <w:bCs/>
          <w:sz w:val="52"/>
          <w:szCs w:val="52"/>
        </w:rPr>
        <w:t>淮安市中等职业教育</w:t>
      </w:r>
    </w:p>
    <w:p>
      <w:pPr>
        <w:spacing w:line="1200" w:lineRule="exact"/>
        <w:jc w:val="center"/>
        <w:rPr>
          <w:rFonts w:ascii="方正小标宋简体" w:eastAsia="方正小标宋简体" w:cs="方正小标宋简体"/>
          <w:b/>
          <w:sz w:val="32"/>
          <w:szCs w:val="32"/>
        </w:rPr>
      </w:pPr>
    </w:p>
    <w:p>
      <w:pPr>
        <w:spacing w:line="1200" w:lineRule="exact"/>
        <w:jc w:val="center"/>
        <w:rPr>
          <w:rFonts w:ascii="华文行楷" w:eastAsia="华文行楷" w:cs="华文行楷"/>
          <w:bCs/>
          <w:sz w:val="110"/>
          <w:szCs w:val="110"/>
        </w:rPr>
      </w:pPr>
      <w:r>
        <w:rPr>
          <w:rFonts w:ascii="方正小标宋简体" w:eastAsia="方正小标宋简体" w:cs="方正小标宋简体" w:hint="eastAsia"/>
          <w:bCs/>
          <w:sz w:val="110"/>
          <w:szCs w:val="110"/>
        </w:rPr>
        <w:t>年度质量报告</w:t>
      </w:r>
    </w:p>
    <w:p>
      <w:pPr>
        <w:spacing w:line="560" w:lineRule="exact"/>
        <w:jc w:val="center"/>
        <w:rPr>
          <w:rFonts w:ascii="仿宋_GB2312" w:eastAsia="仿宋_GB2312" w:cs="仿宋_GB2312"/>
          <w:b/>
          <w:sz w:val="32"/>
          <w:szCs w:val="32"/>
        </w:rPr>
      </w:pPr>
    </w:p>
    <w:p>
      <w:pPr>
        <w:spacing w:line="560" w:lineRule="exact"/>
        <w:jc w:val="center"/>
        <w:rPr>
          <w:rFonts w:ascii="黑体" w:eastAsia="黑体" w:cs="黑体"/>
          <w:bCs/>
          <w:sz w:val="52"/>
          <w:szCs w:val="52"/>
        </w:rPr>
      </w:pPr>
      <w:r>
        <w:rPr>
          <w:rFonts w:ascii="黑体" w:eastAsia="黑体" w:cs="黑体" w:hint="eastAsia"/>
          <w:bCs/>
          <w:sz w:val="52"/>
          <w:szCs w:val="52"/>
        </w:rPr>
        <w:t>（</w:t>
      </w:r>
      <w:r>
        <w:rPr>
          <w:rFonts w:ascii="黑体" w:eastAsia="黑体" w:cs="黑体"/>
          <w:bCs/>
          <w:sz w:val="52"/>
          <w:szCs w:val="52"/>
        </w:rPr>
        <w:t>2022</w:t>
      </w:r>
      <w:r>
        <w:rPr>
          <w:rFonts w:ascii="黑体" w:eastAsia="黑体" w:cs="黑体" w:hint="eastAsia"/>
          <w:bCs/>
          <w:sz w:val="52"/>
          <w:szCs w:val="52"/>
        </w:rPr>
        <w:t>）</w:t>
      </w:r>
    </w:p>
    <w:p>
      <w:pPr>
        <w:spacing w:line="560" w:lineRule="exact"/>
        <w:jc w:val="center"/>
        <w:rPr>
          <w:rFonts w:ascii="仿宋_GB2312" w:eastAsia="仿宋_GB2312" w:cs="仿宋_GB2312"/>
          <w:b/>
          <w:sz w:val="32"/>
          <w:szCs w:val="32"/>
        </w:rPr>
      </w:pPr>
    </w:p>
    <w:p>
      <w:pPr>
        <w:spacing w:line="560" w:lineRule="exact"/>
        <w:jc w:val="center"/>
        <w:rPr>
          <w:rFonts w:ascii="仿宋_GB2312" w:eastAsia="仿宋_GB2312" w:cs="仿宋_GB2312"/>
          <w:b/>
          <w:sz w:val="32"/>
          <w:szCs w:val="32"/>
        </w:rPr>
      </w:pPr>
    </w:p>
    <w:p>
      <w:pPr>
        <w:spacing w:line="560" w:lineRule="exact"/>
        <w:jc w:val="center"/>
        <w:rPr>
          <w:rFonts w:ascii="仿宋_GB2312" w:eastAsia="仿宋_GB2312" w:cs="仿宋_GB2312"/>
          <w:b/>
          <w:sz w:val="32"/>
          <w:szCs w:val="32"/>
        </w:rPr>
      </w:pPr>
    </w:p>
    <w:p>
      <w:pPr>
        <w:spacing w:line="560" w:lineRule="exact"/>
        <w:jc w:val="center"/>
        <w:rPr>
          <w:rFonts w:ascii="仿宋_GB2312" w:eastAsia="仿宋_GB2312" w:cs="仿宋_GB2312"/>
          <w:b/>
          <w:sz w:val="32"/>
          <w:szCs w:val="32"/>
        </w:rPr>
      </w:pPr>
    </w:p>
    <w:p>
      <w:pPr>
        <w:spacing w:line="560" w:lineRule="exact"/>
        <w:jc w:val="center"/>
        <w:rPr>
          <w:rFonts w:ascii="仿宋_GB2312" w:eastAsia="仿宋_GB2312" w:cs="仿宋_GB2312"/>
          <w:b/>
          <w:sz w:val="32"/>
          <w:szCs w:val="32"/>
        </w:rPr>
      </w:pPr>
    </w:p>
    <w:p>
      <w:pPr>
        <w:spacing w:line="560" w:lineRule="exact"/>
        <w:jc w:val="center"/>
        <w:rPr>
          <w:rFonts w:ascii="仿宋_GB2312" w:eastAsia="仿宋_GB2312" w:cs="仿宋_GB2312"/>
          <w:b/>
          <w:sz w:val="32"/>
          <w:szCs w:val="32"/>
        </w:rPr>
      </w:pPr>
    </w:p>
    <w:p>
      <w:pPr>
        <w:spacing w:line="560" w:lineRule="exact"/>
        <w:jc w:val="center"/>
        <w:rPr>
          <w:rFonts w:ascii="仿宋_GB2312" w:eastAsia="仿宋_GB2312" w:cs="仿宋_GB2312"/>
          <w:b/>
          <w:sz w:val="32"/>
          <w:szCs w:val="32"/>
        </w:rPr>
      </w:pPr>
    </w:p>
    <w:p>
      <w:pPr>
        <w:spacing w:line="560" w:lineRule="exact"/>
        <w:jc w:val="center"/>
        <w:rPr>
          <w:rFonts w:ascii="仿宋_GB2312" w:eastAsia="仿宋_GB2312" w:cs="仿宋_GB2312"/>
          <w:b/>
          <w:sz w:val="44"/>
          <w:szCs w:val="44"/>
          <w:u w:val="single"/>
        </w:rPr>
      </w:pPr>
    </w:p>
    <w:p>
      <w:pPr>
        <w:spacing w:line="560" w:lineRule="exact"/>
        <w:jc w:val="center"/>
        <w:rPr>
          <w:rFonts w:ascii="仿宋_GB2312" w:eastAsia="仿宋_GB2312" w:cs="仿宋_GB2312"/>
          <w:b/>
          <w:sz w:val="44"/>
          <w:szCs w:val="44"/>
          <w:u w:val="single"/>
        </w:rPr>
      </w:pPr>
    </w:p>
    <w:p>
      <w:pPr>
        <w:spacing w:line="560" w:lineRule="exact"/>
        <w:jc w:val="center"/>
        <w:rPr>
          <w:rFonts w:ascii="仿宋_GB2312" w:eastAsia="仿宋_GB2312" w:cs="仿宋_GB2312"/>
          <w:b/>
          <w:sz w:val="44"/>
          <w:szCs w:val="44"/>
          <w:u w:val="single"/>
        </w:rPr>
      </w:pPr>
    </w:p>
    <w:p>
      <w:pPr>
        <w:spacing w:line="560" w:lineRule="exact"/>
        <w:jc w:val="center"/>
        <w:rPr>
          <w:rFonts w:ascii="仿宋_GB2312" w:eastAsia="仿宋_GB2312" w:cs="仿宋_GB2312"/>
          <w:b/>
          <w:sz w:val="44"/>
          <w:szCs w:val="44"/>
          <w:u w:val="single"/>
        </w:rPr>
      </w:pPr>
    </w:p>
    <w:p>
      <w:pPr>
        <w:spacing w:line="560" w:lineRule="exact"/>
        <w:jc w:val="center"/>
        <w:rPr>
          <w:rFonts w:ascii="楷体_GB2312" w:eastAsia="楷体_GB2312" w:cs="仿宋_GB2312"/>
          <w:b/>
          <w:sz w:val="44"/>
          <w:szCs w:val="44"/>
        </w:rPr>
      </w:pPr>
      <w:r>
        <w:rPr>
          <w:rFonts w:ascii="楷体_GB2312" w:eastAsia="楷体_GB2312" w:cs="仿宋_GB2312" w:hint="eastAsia"/>
          <w:b/>
          <w:sz w:val="44"/>
          <w:szCs w:val="44"/>
        </w:rPr>
        <w:t>淮安市教育局</w:t>
      </w:r>
    </w:p>
    <w:p>
      <w:pPr>
        <w:spacing w:line="560" w:lineRule="exact"/>
        <w:jc w:val="center"/>
        <w:rPr>
          <w:rFonts w:ascii="仿宋_GB2312" w:eastAsia="楷体_GB2312" w:cs="仿宋_GB2312" w:hAnsi="仿宋_GB2312"/>
          <w:b/>
          <w:sz w:val="32"/>
          <w:szCs w:val="32"/>
        </w:rPr>
        <w:sectPr>
          <w:headerReference w:type="default" r:id="rId2"/>
          <w:headerReference w:type="even" r:id="rId3"/>
          <w:headerReference w:type="first" r:id="rId4"/>
          <w:footerReference w:type="default" r:id="rId5"/>
          <w:footerReference w:type="even" r:id="rId6"/>
          <w:pgSz w:w="11907" w:h="16840"/>
          <w:pgMar w:top="1588" w:right="1588" w:bottom="1588" w:left="1588" w:header="851" w:footer="1134" w:gutter="0"/>
          <w:pgNumType w:start="1"/>
          <w:titlePg/>
          <w:docGrid w:type="lines" w:linePitch="313" w:charSpace="0"/>
        </w:sectPr>
      </w:pPr>
      <w:r>
        <w:rPr>
          <w:rFonts w:ascii="楷体_GB2312" w:eastAsia="楷体_GB2312" w:cs="楷体_GB2312" w:hint="eastAsia"/>
          <w:b/>
          <w:sz w:val="44"/>
          <w:szCs w:val="44"/>
        </w:rPr>
        <w:t>二○二一年十二月</w:t>
      </w:r>
    </w:p>
    <w:p>
      <w:pPr>
        <w:spacing w:line="520" w:lineRule="exact"/>
        <w:jc w:val="center"/>
        <w:rPr>
          <w:rFonts w:ascii="方正小标宋简体" w:eastAsia="方正小标宋简体" w:cs="方正小标宋简体"/>
          <w:sz w:val="44"/>
          <w:szCs w:val="44"/>
        </w:rPr>
      </w:pPr>
      <w:bookmarkStart w:id="1" w:name="_GoBack"/>
      <w:bookmarkEnd w:id="1"/>
      <w:r>
        <w:rPr>
          <w:rFonts w:ascii="方正小标宋简体" w:eastAsia="方正小标宋简体" w:cs="方正小标宋简体" w:hint="eastAsia"/>
          <w:sz w:val="44"/>
          <w:szCs w:val="44"/>
        </w:rPr>
        <w:t>目 录</w:t>
      </w:r>
    </w:p>
    <w:p>
      <w:pPr>
        <w:pStyle w:val="21"/>
        <w:tabs>
          <w:tab w:val="right" w:leader="dot" w:pos="8306"/>
        </w:tabs>
        <w:rPr>
          <w:sz w:val="32"/>
          <w:szCs w:val="32"/>
        </w:rPr>
      </w:pPr>
      <w:r>
        <w:rPr>
          <w:rFonts w:ascii="方正楷体简体" w:eastAsia="方正楷体简体" w:cs="方正楷体简体" w:hint="eastAsia"/>
          <w:sz w:val="32"/>
          <w:szCs w:val="32"/>
        </w:rPr>
        <w:fldChar w:fldCharType="begin"/>
      </w:r>
      <w:r>
        <w:rPr>
          <w:rFonts w:ascii="方正楷体简体" w:eastAsia="方正楷体简体" w:cs="方正楷体简体" w:hint="eastAsia"/>
          <w:sz w:val="32"/>
          <w:szCs w:val="32"/>
        </w:rPr>
        <w:instrText xml:space="preserve">TOC \o "1-2" \h \u </w:instrText>
      </w:r>
      <w:r>
        <w:rPr>
          <w:rFonts w:ascii="方正楷体简体" w:eastAsia="方正楷体简体" w:cs="方正楷体简体" w:hint="eastAsia"/>
          <w:sz w:val="32"/>
          <w:szCs w:val="32"/>
        </w:rPr>
        <w:fldChar w:fldCharType="separate"/>
      </w:r>
    </w:p>
    <w:p>
      <w:pPr>
        <w:pStyle w:val="21"/>
        <w:tabs>
          <w:tab w:val="right" w:leader="dot" w:pos="8306"/>
        </w:tabs>
        <w:rPr>
          <w:sz w:val="32"/>
          <w:szCs w:val="32"/>
        </w:rPr>
      </w:pPr>
      <w:r>
        <w:rPr>
          <w:sz w:val="32"/>
          <w:szCs w:val="32"/>
        </w:rPr>
        <w:fldChar w:fldCharType="begin"/>
      </w:r>
      <w:r>
        <w:rPr>
          <w:sz w:val="32"/>
          <w:szCs w:val="32"/>
        </w:rPr>
        <w:instrText>Hyperlink \l "_Toc84605518"</w:instrText>
      </w:r>
      <w:r>
        <w:rPr>
          <w:sz w:val="32"/>
          <w:szCs w:val="32"/>
        </w:rPr>
        <w:fldChar w:fldCharType="separate"/>
      </w:r>
      <w:r>
        <w:rPr>
          <w:rFonts w:ascii="黑体" w:eastAsia="黑体" w:cs="黑体"/>
          <w:sz w:val="32"/>
          <w:szCs w:val="32"/>
        </w:rPr>
        <w:t>1.</w:t>
      </w:r>
      <w:r>
        <w:rPr>
          <w:rFonts w:ascii="黑体" w:eastAsia="黑体" w:cs="黑体" w:hint="eastAsia"/>
          <w:sz w:val="32"/>
          <w:szCs w:val="32"/>
        </w:rPr>
        <w:t>基本情况</w:t>
      </w:r>
      <w:r>
        <w:rPr>
          <w:sz w:val="32"/>
          <w:szCs w:val="32"/>
        </w:rPr>
        <w:tab/>
      </w:r>
      <w:r>
        <w:rPr>
          <w:sz w:val="32"/>
          <w:szCs w:val="32"/>
        </w:rPr>
        <w:fldChar w:fldCharType="begin"/>
      </w:r>
      <w:r>
        <w:rPr>
          <w:sz w:val="32"/>
          <w:szCs w:val="32"/>
        </w:rPr>
        <w:instrText>PageRef _Toc84605518 \h</w:instrText>
      </w:r>
      <w:r>
        <w:rPr>
          <w:sz w:val="32"/>
          <w:szCs w:val="32"/>
        </w:rPr>
        <w:fldChar w:fldCharType="separate"/>
      </w:r>
      <w:r>
        <w:rPr>
          <w:sz w:val="32"/>
          <w:szCs w:val="32"/>
        </w:rPr>
        <w:t>1</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"_Toc84605519"</w:instrText>
      </w:r>
      <w:r>
        <w:rPr>
          <w:sz w:val="32"/>
          <w:szCs w:val="32"/>
        </w:rPr>
        <w:fldChar w:fldCharType="separate"/>
      </w:r>
      <w:r>
        <w:rPr>
          <w:rFonts w:ascii="仿宋_GB2312" w:eastAsia="仿宋_GB2312" w:cs="仿宋_GB2312" w:hint="eastAsia"/>
          <w:bCs/>
          <w:sz w:val="32"/>
          <w:szCs w:val="32"/>
        </w:rPr>
        <w:t>1.2设施设备</w:t>
      </w:r>
      <w:r>
        <w:rPr>
          <w:sz w:val="32"/>
          <w:szCs w:val="32"/>
        </w:rPr>
        <w:tab/>
      </w:r>
      <w:r>
        <w:rPr>
          <w:sz w:val="32"/>
          <w:szCs w:val="32"/>
        </w:rPr>
        <w:fldChar w:fldCharType="begin"/>
      </w:r>
      <w:r>
        <w:rPr>
          <w:sz w:val="32"/>
          <w:szCs w:val="32"/>
        </w:rPr>
        <w:instrText>PageRef _Toc84605519 \h</w:instrText>
      </w:r>
      <w:r>
        <w:rPr>
          <w:sz w:val="32"/>
          <w:szCs w:val="32"/>
        </w:rPr>
        <w:fldChar w:fldCharType="separate"/>
      </w:r>
      <w:r>
        <w:rPr>
          <w:sz w:val="32"/>
          <w:szCs w:val="32"/>
        </w:rPr>
        <w:t>3</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"_Toc84605520"</w:instrText>
      </w:r>
      <w:r>
        <w:rPr>
          <w:sz w:val="32"/>
          <w:szCs w:val="32"/>
        </w:rPr>
        <w:fldChar w:fldCharType="separate"/>
      </w:r>
      <w:r>
        <w:rPr>
          <w:rFonts w:ascii="仿宋_GB2312" w:eastAsia="仿宋_GB2312" w:cs="仿宋_GB2312" w:hint="eastAsia"/>
          <w:sz w:val="32"/>
          <w:szCs w:val="32"/>
        </w:rPr>
        <w:t>1.3教师队伍</w:t>
      </w:r>
      <w:r>
        <w:rPr>
          <w:sz w:val="32"/>
          <w:szCs w:val="32"/>
        </w:rPr>
        <w:tab/>
      </w:r>
      <w:r>
        <w:rPr>
          <w:sz w:val="32"/>
          <w:szCs w:val="32"/>
        </w:rPr>
        <w:fldChar w:fldCharType="begin"/>
      </w:r>
      <w:r>
        <w:rPr>
          <w:sz w:val="32"/>
          <w:szCs w:val="32"/>
        </w:rPr>
        <w:instrText>PageRef _Toc84605520 \h</w:instrText>
      </w:r>
      <w:r>
        <w:rPr>
          <w:sz w:val="32"/>
          <w:szCs w:val="32"/>
        </w:rPr>
        <w:fldChar w:fldCharType="separate"/>
      </w:r>
      <w:r>
        <w:rPr>
          <w:sz w:val="32"/>
          <w:szCs w:val="32"/>
        </w:rPr>
        <w:t>4</w:t>
      </w:r>
      <w:r>
        <w:rPr>
          <w:sz w:val="32"/>
          <w:szCs w:val="32"/>
        </w:rPr>
        <w:fldChar w:fldCharType="end"/>
      </w:r>
      <w:r>
        <w:rPr>
          <w:sz w:val="32"/>
          <w:szCs w:val="32"/>
        </w:rPr>
        <w:fldChar w:fldCharType="end"/>
      </w:r>
    </w:p>
    <w:p>
      <w:pPr>
        <w:pStyle w:val="21"/>
        <w:tabs>
          <w:tab w:val="right" w:leader="dot" w:pos="8306"/>
        </w:tabs>
        <w:rPr>
          <w:sz w:val="32"/>
          <w:szCs w:val="32"/>
        </w:rPr>
      </w:pPr>
      <w:r>
        <w:rPr>
          <w:sz w:val="32"/>
          <w:szCs w:val="32"/>
        </w:rPr>
        <w:fldChar w:fldCharType="begin"/>
      </w:r>
      <w:r>
        <w:rPr>
          <w:sz w:val="32"/>
          <w:szCs w:val="32"/>
        </w:rPr>
        <w:instrText>Hyperlink \l "_Toc84605521"</w:instrText>
      </w:r>
      <w:r>
        <w:rPr>
          <w:sz w:val="32"/>
          <w:szCs w:val="32"/>
        </w:rPr>
        <w:fldChar w:fldCharType="separate"/>
      </w:r>
      <w:r>
        <w:rPr>
          <w:rFonts w:ascii="黑体" w:eastAsia="黑体" w:cs="黑体"/>
          <w:sz w:val="32"/>
          <w:szCs w:val="32"/>
        </w:rPr>
        <w:t>2</w:t>
      </w:r>
      <w:r>
        <w:rPr>
          <w:rFonts w:ascii="黑体" w:eastAsia="黑体" w:cs="黑体" w:hint="eastAsia"/>
          <w:sz w:val="32"/>
          <w:szCs w:val="32"/>
        </w:rPr>
        <w:t>.学生发展</w:t>
      </w:r>
      <w:r>
        <w:rPr>
          <w:sz w:val="32"/>
          <w:szCs w:val="32"/>
        </w:rPr>
        <w:tab/>
      </w:r>
      <w:r>
        <w:rPr>
          <w:sz w:val="32"/>
          <w:szCs w:val="32"/>
        </w:rPr>
        <w:fldChar w:fldCharType="begin"/>
      </w:r>
      <w:r>
        <w:rPr>
          <w:sz w:val="32"/>
          <w:szCs w:val="32"/>
        </w:rPr>
        <w:instrText>PageRef _Toc84605521 \h</w:instrText>
      </w:r>
      <w:r>
        <w:rPr>
          <w:sz w:val="32"/>
          <w:szCs w:val="32"/>
        </w:rPr>
        <w:fldChar w:fldCharType="separate"/>
      </w:r>
      <w:r>
        <w:rPr>
          <w:sz w:val="32"/>
          <w:szCs w:val="32"/>
        </w:rPr>
        <w:t>5</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"_Toc84605522"</w:instrText>
      </w:r>
      <w:r>
        <w:rPr>
          <w:sz w:val="32"/>
          <w:szCs w:val="32"/>
        </w:rPr>
        <w:fldChar w:fldCharType="separate"/>
      </w:r>
      <w:r>
        <w:rPr>
          <w:rFonts w:ascii="仿宋_GB2312" w:eastAsia="仿宋_GB2312" w:cs="仿宋_GB2312"/>
          <w:bCs/>
          <w:sz w:val="32"/>
          <w:szCs w:val="32"/>
        </w:rPr>
        <w:t>2</w:t>
      </w:r>
      <w:r>
        <w:rPr>
          <w:rFonts w:ascii="仿宋_GB2312" w:eastAsia="仿宋_GB2312" w:cs="仿宋_GB2312" w:hint="eastAsia"/>
          <w:bCs/>
          <w:sz w:val="32"/>
          <w:szCs w:val="32"/>
        </w:rPr>
        <w:t>.2技术技能</w:t>
      </w:r>
      <w:r>
        <w:rPr>
          <w:sz w:val="32"/>
          <w:szCs w:val="32"/>
        </w:rPr>
        <w:tab/>
      </w:r>
      <w:r>
        <w:rPr>
          <w:sz w:val="32"/>
          <w:szCs w:val="32"/>
        </w:rPr>
        <w:fldChar w:fldCharType="begin"/>
      </w:r>
      <w:r>
        <w:rPr>
          <w:sz w:val="32"/>
          <w:szCs w:val="32"/>
        </w:rPr>
        <w:instrText>PageRef _Toc84605522 \h</w:instrText>
      </w:r>
      <w:r>
        <w:rPr>
          <w:sz w:val="32"/>
          <w:szCs w:val="32"/>
        </w:rPr>
        <w:fldChar w:fldCharType="separate"/>
      </w:r>
      <w:r>
        <w:rPr>
          <w:sz w:val="32"/>
          <w:szCs w:val="32"/>
        </w:rPr>
        <w:t>8</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"_Toc84605523"</w:instrText>
      </w:r>
      <w:r>
        <w:rPr>
          <w:sz w:val="32"/>
          <w:szCs w:val="32"/>
        </w:rPr>
        <w:fldChar w:fldCharType="separate"/>
      </w:r>
      <w:r>
        <w:rPr>
          <w:rFonts w:ascii="仿宋_GB2312" w:eastAsia="仿宋_GB2312" w:cs="仿宋_GB2312"/>
          <w:bCs/>
          <w:sz w:val="32"/>
          <w:szCs w:val="32"/>
        </w:rPr>
        <w:t>2</w:t>
      </w:r>
      <w:r>
        <w:rPr>
          <w:rFonts w:ascii="仿宋_GB2312" w:eastAsia="仿宋_GB2312" w:cs="仿宋_GB2312" w:hint="eastAsia"/>
          <w:bCs/>
          <w:sz w:val="32"/>
          <w:szCs w:val="32"/>
        </w:rPr>
        <w:t>.3就业质量</w:t>
      </w:r>
      <w:r>
        <w:rPr>
          <w:sz w:val="32"/>
          <w:szCs w:val="32"/>
        </w:rPr>
        <w:tab/>
      </w:r>
      <w:r>
        <w:rPr>
          <w:sz w:val="32"/>
          <w:szCs w:val="32"/>
        </w:rPr>
        <w:fldChar w:fldCharType="begin"/>
      </w:r>
      <w:r>
        <w:rPr>
          <w:sz w:val="32"/>
          <w:szCs w:val="32"/>
        </w:rPr>
        <w:instrText>PageRef _Toc84605523 \h</w:instrText>
      </w:r>
      <w:r>
        <w:rPr>
          <w:sz w:val="32"/>
          <w:szCs w:val="32"/>
        </w:rPr>
        <w:fldChar w:fldCharType="separate"/>
      </w:r>
      <w:r>
        <w:rPr>
          <w:sz w:val="32"/>
          <w:szCs w:val="32"/>
        </w:rPr>
        <w:t>10</w:t>
      </w:r>
      <w:r>
        <w:rPr>
          <w:sz w:val="32"/>
          <w:szCs w:val="32"/>
        </w:rPr>
        <w:fldChar w:fldCharType="end"/>
      </w:r>
      <w:r>
        <w:rPr>
          <w:sz w:val="32"/>
          <w:szCs w:val="32"/>
        </w:rPr>
        <w:fldChar w:fldCharType="end"/>
      </w:r>
    </w:p>
    <w:p>
      <w:pPr>
        <w:pStyle w:val="21"/>
        <w:tabs>
          <w:tab w:val="right" w:leader="dot" w:pos="8306"/>
        </w:tabs>
        <w:rPr>
          <w:sz w:val="32"/>
          <w:szCs w:val="32"/>
        </w:rPr>
      </w:pPr>
      <w:r>
        <w:rPr>
          <w:sz w:val="32"/>
          <w:szCs w:val="32"/>
        </w:rPr>
        <w:fldChar w:fldCharType="begin"/>
      </w:r>
      <w:r>
        <w:rPr>
          <w:sz w:val="32"/>
          <w:szCs w:val="32"/>
        </w:rPr>
        <w:instrText>Hyperlink \l "_Toc84605524"</w:instrText>
      </w:r>
      <w:r>
        <w:rPr>
          <w:sz w:val="32"/>
          <w:szCs w:val="32"/>
        </w:rPr>
        <w:fldChar w:fldCharType="separate"/>
      </w:r>
      <w:r>
        <w:rPr>
          <w:rFonts w:ascii="黑体" w:eastAsia="黑体" w:cs="黑体"/>
          <w:sz w:val="32"/>
          <w:szCs w:val="32"/>
        </w:rPr>
        <w:t>3</w:t>
      </w:r>
      <w:r>
        <w:rPr>
          <w:rFonts w:ascii="黑体" w:eastAsia="黑体" w:cs="黑体" w:hint="eastAsia"/>
          <w:sz w:val="32"/>
          <w:szCs w:val="32"/>
        </w:rPr>
        <w:t>.教育教学</w:t>
      </w:r>
      <w:r>
        <w:rPr>
          <w:sz w:val="32"/>
          <w:szCs w:val="32"/>
        </w:rPr>
        <w:tab/>
      </w:r>
      <w:r>
        <w:rPr>
          <w:sz w:val="32"/>
          <w:szCs w:val="32"/>
        </w:rPr>
        <w:fldChar w:fldCharType="begin"/>
      </w:r>
      <w:r>
        <w:rPr>
          <w:sz w:val="32"/>
          <w:szCs w:val="32"/>
        </w:rPr>
        <w:instrText>PageRef _Toc84605524 \h</w:instrText>
      </w:r>
      <w:r>
        <w:rPr>
          <w:sz w:val="32"/>
          <w:szCs w:val="32"/>
        </w:rPr>
        <w:fldChar w:fldCharType="separate"/>
      </w:r>
      <w:r>
        <w:rPr>
          <w:sz w:val="32"/>
          <w:szCs w:val="32"/>
        </w:rPr>
        <w:t>13</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"_Toc84605525"</w:instrText>
      </w:r>
      <w:r>
        <w:rPr>
          <w:sz w:val="32"/>
          <w:szCs w:val="32"/>
        </w:rPr>
        <w:fldChar w:fldCharType="separate"/>
      </w:r>
      <w:r>
        <w:rPr>
          <w:rFonts w:ascii="Times New Roman" w:eastAsia="仿宋_GB2312" w:hAnsi="Times New Roman"/>
          <w:bCs/>
          <w:sz w:val="32"/>
          <w:szCs w:val="32"/>
          <w:shd w:val="clear" w:color="auto" w:fill="FFFFFF"/>
        </w:rPr>
        <w:t>3.</w:t>
      </w:r>
      <w:r>
        <w:rPr>
          <w:rFonts w:ascii="Times New Roman" w:eastAsia="仿宋_GB2312" w:hAnsi="Times New Roman" w:hint="eastAsia"/>
          <w:bCs/>
          <w:sz w:val="32"/>
          <w:szCs w:val="32"/>
          <w:shd w:val="clear" w:color="auto" w:fill="FFFFFF"/>
        </w:rPr>
        <w:t>1</w:t>
      </w:r>
      <w:r>
        <w:rPr>
          <w:rFonts w:ascii="Times New Roman" w:eastAsia="仿宋_GB2312" w:hAnsi="Times New Roman"/>
          <w:bCs/>
          <w:sz w:val="32"/>
          <w:szCs w:val="32"/>
          <w:shd w:val="clear" w:color="auto" w:fill="FFFFFF"/>
        </w:rPr>
        <w:t xml:space="preserve"> </w:t>
      </w:r>
      <w:r>
        <w:rPr>
          <w:rFonts w:ascii="Times New Roman" w:eastAsia="仿宋_GB2312" w:hAnsi="Times New Roman" w:hint="eastAsia"/>
          <w:bCs/>
          <w:sz w:val="32"/>
          <w:szCs w:val="32"/>
          <w:shd w:val="clear" w:color="auto" w:fill="FFFFFF"/>
        </w:rPr>
        <w:t>专业建设</w:t>
      </w:r>
      <w:r>
        <w:rPr>
          <w:sz w:val="32"/>
          <w:szCs w:val="32"/>
        </w:rPr>
        <w:tab/>
      </w:r>
      <w:r>
        <w:rPr>
          <w:sz w:val="32"/>
          <w:szCs w:val="32"/>
        </w:rPr>
        <w:fldChar w:fldCharType="begin"/>
      </w:r>
      <w:r>
        <w:rPr>
          <w:sz w:val="32"/>
          <w:szCs w:val="32"/>
        </w:rPr>
        <w:instrText>PageRef _Toc84605525 \h</w:instrText>
      </w:r>
      <w:r>
        <w:rPr>
          <w:sz w:val="32"/>
          <w:szCs w:val="32"/>
        </w:rPr>
        <w:fldChar w:fldCharType="separate"/>
      </w:r>
      <w:r>
        <w:rPr>
          <w:sz w:val="32"/>
          <w:szCs w:val="32"/>
        </w:rPr>
        <w:t>13</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"_Toc84605527"</w:instrText>
      </w:r>
      <w:r>
        <w:rPr>
          <w:sz w:val="32"/>
          <w:szCs w:val="32"/>
        </w:rPr>
        <w:fldChar w:fldCharType="separate"/>
      </w:r>
      <w:r>
        <w:rPr>
          <w:rFonts w:ascii="仿宋_GB2312" w:eastAsia="仿宋_GB2312" w:cs="仿宋_GB2312"/>
          <w:bCs/>
          <w:kern w:val="2"/>
          <w:sz w:val="32"/>
          <w:szCs w:val="32"/>
        </w:rPr>
        <w:t xml:space="preserve">3.2 </w:t>
      </w:r>
      <w:r>
        <w:rPr>
          <w:rFonts w:ascii="仿宋_GB2312" w:eastAsia="仿宋_GB2312" w:cs="仿宋_GB2312" w:hint="eastAsia"/>
          <w:bCs/>
          <w:kern w:val="2"/>
          <w:sz w:val="32"/>
          <w:szCs w:val="32"/>
        </w:rPr>
        <w:t>教学改革</w:t>
      </w:r>
      <w:r>
        <w:rPr>
          <w:sz w:val="32"/>
          <w:szCs w:val="32"/>
        </w:rPr>
        <w:tab/>
      </w:r>
      <w:r>
        <w:rPr>
          <w:sz w:val="32"/>
          <w:szCs w:val="32"/>
        </w:rPr>
        <w:fldChar w:fldCharType="begin"/>
      </w:r>
      <w:r>
        <w:rPr>
          <w:sz w:val="32"/>
          <w:szCs w:val="32"/>
        </w:rPr>
        <w:instrText>PageRef _Toc84605527 \h</w:instrText>
      </w:r>
      <w:r>
        <w:rPr>
          <w:sz w:val="32"/>
          <w:szCs w:val="32"/>
        </w:rPr>
        <w:fldChar w:fldCharType="separate"/>
      </w:r>
      <w:r>
        <w:rPr>
          <w:sz w:val="32"/>
          <w:szCs w:val="32"/>
        </w:rPr>
        <w:t>13</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"_Toc84605530"</w:instrText>
      </w:r>
      <w:r>
        <w:rPr>
          <w:sz w:val="32"/>
          <w:szCs w:val="32"/>
        </w:rPr>
        <w:fldChar w:fldCharType="separate"/>
      </w:r>
      <w:r>
        <w:rPr>
          <w:rFonts w:ascii="Times New Roman" w:eastAsia="仿宋_GB2312" w:hAnsi="Times New Roman"/>
          <w:bCs/>
          <w:sz w:val="32"/>
          <w:szCs w:val="32"/>
          <w:shd w:val="clear" w:color="auto" w:fill="FFFFFF"/>
        </w:rPr>
        <w:t>3.3 队伍建设</w:t>
      </w:r>
      <w:r>
        <w:rPr>
          <w:sz w:val="32"/>
          <w:szCs w:val="32"/>
        </w:rPr>
        <w:tab/>
      </w:r>
      <w:r>
        <w:rPr>
          <w:sz w:val="32"/>
          <w:szCs w:val="32"/>
        </w:rPr>
        <w:fldChar w:fldCharType="begin"/>
      </w:r>
      <w:r>
        <w:rPr>
          <w:sz w:val="32"/>
          <w:szCs w:val="32"/>
        </w:rPr>
        <w:instrText>PageRef _Toc84605530 \h</w:instrText>
      </w:r>
      <w:r>
        <w:rPr>
          <w:sz w:val="32"/>
          <w:szCs w:val="32"/>
        </w:rPr>
        <w:fldChar w:fldCharType="separate"/>
      </w:r>
      <w:r>
        <w:rPr>
          <w:sz w:val="32"/>
          <w:szCs w:val="32"/>
        </w:rPr>
        <w:t>16</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"_Toc84605532"</w:instrText>
      </w:r>
      <w:r>
        <w:rPr>
          <w:sz w:val="32"/>
          <w:szCs w:val="32"/>
        </w:rPr>
        <w:fldChar w:fldCharType="separate"/>
      </w:r>
      <w:r>
        <w:rPr>
          <w:rFonts w:ascii="仿宋_GB2312" w:eastAsia="仿宋_GB2312" w:cs="仿宋_GB2312"/>
          <w:bCs/>
          <w:sz w:val="32"/>
          <w:szCs w:val="32"/>
        </w:rPr>
        <w:t>3.4</w:t>
      </w:r>
      <w:r>
        <w:rPr>
          <w:rFonts w:ascii="仿宋_GB2312" w:eastAsia="仿宋_GB2312" w:cs="仿宋_GB2312" w:hint="eastAsia"/>
          <w:bCs/>
          <w:sz w:val="32"/>
          <w:szCs w:val="32"/>
        </w:rPr>
        <w:t>质量保证</w:t>
      </w:r>
      <w:r>
        <w:rPr>
          <w:sz w:val="32"/>
          <w:szCs w:val="32"/>
        </w:rPr>
        <w:tab/>
      </w:r>
      <w:r>
        <w:rPr>
          <w:sz w:val="32"/>
          <w:szCs w:val="32"/>
        </w:rPr>
        <w:fldChar w:fldCharType="begin"/>
      </w:r>
      <w:r>
        <w:rPr>
          <w:sz w:val="32"/>
          <w:szCs w:val="32"/>
        </w:rPr>
        <w:instrText>PageRef _Toc84605532 \h</w:instrText>
      </w:r>
      <w:r>
        <w:rPr>
          <w:sz w:val="32"/>
          <w:szCs w:val="32"/>
        </w:rPr>
        <w:fldChar w:fldCharType="separate"/>
      </w:r>
      <w:r>
        <w:rPr>
          <w:sz w:val="32"/>
          <w:szCs w:val="32"/>
        </w:rPr>
        <w:t>17</w:t>
      </w:r>
      <w:r>
        <w:rPr>
          <w:sz w:val="32"/>
          <w:szCs w:val="32"/>
        </w:rPr>
        <w:fldChar w:fldCharType="end"/>
      </w:r>
      <w:r>
        <w:rPr>
          <w:sz w:val="32"/>
          <w:szCs w:val="32"/>
        </w:rPr>
        <w:fldChar w:fldCharType="end"/>
      </w:r>
    </w:p>
    <w:p>
      <w:pPr>
        <w:pStyle w:val="21"/>
        <w:tabs>
          <w:tab w:val="right" w:leader="dot" w:pos="8306"/>
        </w:tabs>
        <w:rPr>
          <w:sz w:val="32"/>
          <w:szCs w:val="32"/>
        </w:rPr>
      </w:pPr>
      <w:r>
        <w:rPr>
          <w:sz w:val="32"/>
          <w:szCs w:val="32"/>
        </w:rPr>
        <w:fldChar w:fldCharType="begin"/>
      </w:r>
      <w:r>
        <w:rPr>
          <w:sz w:val="32"/>
          <w:szCs w:val="32"/>
        </w:rPr>
        <w:instrText>Hyperlink \l "_Toc84605533"</w:instrText>
      </w:r>
      <w:r>
        <w:rPr>
          <w:sz w:val="32"/>
          <w:szCs w:val="32"/>
        </w:rPr>
        <w:fldChar w:fldCharType="separate"/>
      </w:r>
      <w:r>
        <w:rPr>
          <w:rFonts w:ascii="黑体" w:eastAsia="黑体" w:cs="黑体"/>
          <w:sz w:val="32"/>
          <w:szCs w:val="32"/>
        </w:rPr>
        <w:t>4</w:t>
      </w:r>
      <w:r>
        <w:rPr>
          <w:rFonts w:ascii="黑体" w:eastAsia="黑体" w:cs="黑体" w:hint="eastAsia"/>
          <w:sz w:val="32"/>
          <w:szCs w:val="32"/>
        </w:rPr>
        <w:t>.校企合作</w:t>
      </w:r>
      <w:r>
        <w:rPr>
          <w:sz w:val="32"/>
          <w:szCs w:val="32"/>
        </w:rPr>
        <w:tab/>
      </w:r>
      <w:r>
        <w:rPr>
          <w:sz w:val="32"/>
          <w:szCs w:val="32"/>
        </w:rPr>
        <w:fldChar w:fldCharType="begin"/>
      </w:r>
      <w:r>
        <w:rPr>
          <w:sz w:val="32"/>
          <w:szCs w:val="32"/>
        </w:rPr>
        <w:instrText>PageRef _Toc84605533 \h</w:instrText>
      </w:r>
      <w:r>
        <w:rPr>
          <w:sz w:val="32"/>
          <w:szCs w:val="32"/>
        </w:rPr>
        <w:fldChar w:fldCharType="separate"/>
      </w:r>
      <w:r>
        <w:rPr>
          <w:sz w:val="32"/>
          <w:szCs w:val="32"/>
        </w:rPr>
        <w:t>18</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"_Toc84605537"</w:instrText>
      </w:r>
      <w:r>
        <w:rPr>
          <w:sz w:val="32"/>
          <w:szCs w:val="32"/>
        </w:rPr>
        <w:fldChar w:fldCharType="separate"/>
      </w:r>
      <w:r>
        <w:rPr>
          <w:rFonts w:ascii="Times New Roman" w:eastAsia="仿宋_GB2312" w:hAnsi="Times New Roman"/>
          <w:bCs/>
          <w:sz w:val="32"/>
          <w:szCs w:val="32"/>
          <w:shd w:val="clear" w:color="auto" w:fill="FFFFFF"/>
        </w:rPr>
        <w:t>4.1 制度平台建设</w:t>
      </w:r>
      <w:r>
        <w:rPr>
          <w:sz w:val="32"/>
          <w:szCs w:val="32"/>
        </w:rPr>
        <w:tab/>
      </w:r>
      <w:r>
        <w:rPr>
          <w:sz w:val="32"/>
          <w:szCs w:val="32"/>
        </w:rPr>
        <w:fldChar w:fldCharType="begin"/>
      </w:r>
      <w:r>
        <w:rPr>
          <w:sz w:val="32"/>
          <w:szCs w:val="32"/>
        </w:rPr>
        <w:instrText>PageRef _Toc84605537 \h</w:instrText>
      </w:r>
      <w:r>
        <w:rPr>
          <w:sz w:val="32"/>
          <w:szCs w:val="32"/>
        </w:rPr>
        <w:fldChar w:fldCharType="separate"/>
      </w:r>
      <w:r>
        <w:rPr>
          <w:sz w:val="32"/>
          <w:szCs w:val="32"/>
        </w:rPr>
        <w:t>20</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"_Toc84605538"</w:instrText>
      </w:r>
      <w:r>
        <w:rPr>
          <w:sz w:val="32"/>
          <w:szCs w:val="32"/>
        </w:rPr>
        <w:fldChar w:fldCharType="separate"/>
      </w:r>
      <w:r>
        <w:rPr>
          <w:rFonts w:ascii="Times New Roman" w:eastAsia="仿宋_GB2312" w:hAnsi="Times New Roman"/>
          <w:bCs/>
          <w:sz w:val="32"/>
          <w:szCs w:val="32"/>
          <w:shd w:val="clear" w:color="auto" w:fill="FFFFFF"/>
        </w:rPr>
        <w:t>4.2 现代学徒制</w:t>
      </w:r>
      <w:r>
        <w:rPr>
          <w:sz w:val="32"/>
          <w:szCs w:val="32"/>
        </w:rPr>
        <w:tab/>
      </w:r>
      <w:r>
        <w:rPr>
          <w:sz w:val="32"/>
          <w:szCs w:val="32"/>
        </w:rPr>
        <w:fldChar w:fldCharType="begin"/>
      </w:r>
      <w:r>
        <w:rPr>
          <w:sz w:val="32"/>
          <w:szCs w:val="32"/>
        </w:rPr>
        <w:instrText>PageRef _Toc84605538 \h</w:instrText>
      </w:r>
      <w:r>
        <w:rPr>
          <w:sz w:val="32"/>
          <w:szCs w:val="32"/>
        </w:rPr>
        <w:fldChar w:fldCharType="separate"/>
      </w:r>
      <w:r>
        <w:rPr>
          <w:sz w:val="32"/>
          <w:szCs w:val="32"/>
        </w:rPr>
        <w:t>22</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"_Toc84605540"</w:instrText>
      </w:r>
      <w:r>
        <w:rPr>
          <w:sz w:val="32"/>
          <w:szCs w:val="32"/>
        </w:rPr>
        <w:fldChar w:fldCharType="separate"/>
      </w:r>
      <w:r>
        <w:rPr>
          <w:rFonts w:ascii="仿宋_GB2312" w:eastAsia="仿宋_GB2312" w:cs="仿宋_GB2312"/>
          <w:bCs/>
          <w:sz w:val="32"/>
          <w:szCs w:val="32"/>
          <w:shd w:val="clear" w:color="auto" w:fill="FFFFFF"/>
        </w:rPr>
        <w:t>4</w:t>
      </w:r>
      <w:r>
        <w:rPr>
          <w:rFonts w:ascii="仿宋_GB2312" w:eastAsia="仿宋_GB2312" w:cs="仿宋_GB2312" w:hint="eastAsia"/>
          <w:bCs/>
          <w:sz w:val="32"/>
          <w:szCs w:val="32"/>
          <w:shd w:val="clear" w:color="auto" w:fill="FFFFFF"/>
        </w:rPr>
        <w:t>.3 实习实训</w:t>
      </w:r>
      <w:r>
        <w:rPr>
          <w:sz w:val="32"/>
          <w:szCs w:val="32"/>
        </w:rPr>
        <w:tab/>
      </w:r>
      <w:r>
        <w:rPr>
          <w:sz w:val="32"/>
          <w:szCs w:val="32"/>
        </w:rPr>
        <w:fldChar w:fldCharType="begin"/>
      </w:r>
      <w:r>
        <w:rPr>
          <w:sz w:val="32"/>
          <w:szCs w:val="32"/>
        </w:rPr>
        <w:instrText>PageRef _Toc84605540 \h</w:instrText>
      </w:r>
      <w:r>
        <w:rPr>
          <w:sz w:val="32"/>
          <w:szCs w:val="32"/>
        </w:rPr>
        <w:fldChar w:fldCharType="separate"/>
      </w:r>
      <w:r>
        <w:rPr>
          <w:sz w:val="32"/>
          <w:szCs w:val="32"/>
        </w:rPr>
        <w:t>24</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"_Toc84605541"</w:instrText>
      </w:r>
      <w:r>
        <w:rPr>
          <w:sz w:val="32"/>
          <w:szCs w:val="32"/>
        </w:rPr>
        <w:fldChar w:fldCharType="separate"/>
      </w:r>
      <w:r>
        <w:rPr>
          <w:rFonts w:ascii="仿宋_GB2312" w:eastAsia="仿宋_GB2312" w:cs="仿宋_GB2312"/>
          <w:bCs/>
          <w:sz w:val="32"/>
          <w:szCs w:val="32"/>
        </w:rPr>
        <w:t>4</w:t>
      </w:r>
      <w:r>
        <w:rPr>
          <w:rFonts w:ascii="仿宋_GB2312" w:eastAsia="仿宋_GB2312" w:cs="仿宋_GB2312" w:hint="eastAsia"/>
          <w:bCs/>
          <w:sz w:val="32"/>
          <w:szCs w:val="32"/>
        </w:rPr>
        <w:t>.4 职教集团</w:t>
      </w:r>
      <w:r>
        <w:rPr>
          <w:sz w:val="32"/>
          <w:szCs w:val="32"/>
        </w:rPr>
        <w:tab/>
      </w:r>
      <w:r>
        <w:rPr>
          <w:sz w:val="32"/>
          <w:szCs w:val="32"/>
        </w:rPr>
        <w:fldChar w:fldCharType="begin"/>
      </w:r>
      <w:r>
        <w:rPr>
          <w:sz w:val="32"/>
          <w:szCs w:val="32"/>
        </w:rPr>
        <w:instrText>PageRef _Toc84605541 \h</w:instrText>
      </w:r>
      <w:r>
        <w:rPr>
          <w:sz w:val="32"/>
          <w:szCs w:val="32"/>
        </w:rPr>
        <w:fldChar w:fldCharType="separate"/>
      </w:r>
      <w:r>
        <w:rPr>
          <w:sz w:val="32"/>
          <w:szCs w:val="32"/>
        </w:rPr>
        <w:t>25</w:t>
      </w:r>
      <w:r>
        <w:rPr>
          <w:sz w:val="32"/>
          <w:szCs w:val="32"/>
        </w:rPr>
        <w:fldChar w:fldCharType="end"/>
      </w:r>
      <w:r>
        <w:rPr>
          <w:sz w:val="32"/>
          <w:szCs w:val="32"/>
        </w:rPr>
        <w:fldChar w:fldCharType="end"/>
      </w:r>
    </w:p>
    <w:p>
      <w:pPr>
        <w:pStyle w:val="21"/>
        <w:tabs>
          <w:tab w:val="right" w:leader="dot" w:pos="8306"/>
        </w:tabs>
        <w:rPr>
          <w:sz w:val="32"/>
          <w:szCs w:val="32"/>
        </w:rPr>
      </w:pPr>
      <w:r>
        <w:rPr>
          <w:sz w:val="32"/>
          <w:szCs w:val="32"/>
        </w:rPr>
        <w:fldChar w:fldCharType="begin"/>
      </w:r>
      <w:r>
        <w:rPr>
          <w:sz w:val="32"/>
          <w:szCs w:val="32"/>
        </w:rPr>
        <w:instrText>Hyperlink \l "_Toc84605542"</w:instrText>
      </w:r>
      <w:r>
        <w:rPr>
          <w:sz w:val="32"/>
          <w:szCs w:val="32"/>
        </w:rPr>
        <w:fldChar w:fldCharType="separate"/>
      </w:r>
      <w:r>
        <w:rPr>
          <w:rFonts w:ascii="黑体" w:eastAsia="黑体"/>
          <w:sz w:val="32"/>
          <w:szCs w:val="32"/>
          <w:shd w:val="clear" w:color="auto" w:fill="FFFFFF"/>
        </w:rPr>
        <w:t>5.</w:t>
      </w:r>
      <w:r>
        <w:rPr>
          <w:rFonts w:ascii="黑体" w:eastAsia="黑体" w:hint="eastAsia"/>
          <w:sz w:val="32"/>
          <w:szCs w:val="32"/>
          <w:shd w:val="clear" w:color="auto" w:fill="FFFFFF"/>
        </w:rPr>
        <w:t>社会贡献</w:t>
      </w:r>
      <w:r>
        <w:rPr>
          <w:sz w:val="32"/>
          <w:szCs w:val="32"/>
        </w:rPr>
        <w:tab/>
      </w:r>
      <w:r>
        <w:rPr>
          <w:sz w:val="32"/>
          <w:szCs w:val="32"/>
        </w:rPr>
        <w:fldChar w:fldCharType="begin"/>
      </w:r>
      <w:r>
        <w:rPr>
          <w:sz w:val="32"/>
          <w:szCs w:val="32"/>
        </w:rPr>
        <w:instrText>PageRef _Toc84605542 \h</w:instrText>
      </w:r>
      <w:r>
        <w:rPr>
          <w:sz w:val="32"/>
          <w:szCs w:val="32"/>
        </w:rPr>
        <w:fldChar w:fldCharType="separate"/>
      </w:r>
      <w:r>
        <w:rPr>
          <w:sz w:val="32"/>
          <w:szCs w:val="32"/>
        </w:rPr>
        <w:t>26</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"_Toc84605543"</w:instrText>
      </w:r>
      <w:r>
        <w:rPr>
          <w:sz w:val="32"/>
          <w:szCs w:val="32"/>
        </w:rPr>
        <w:fldChar w:fldCharType="separate"/>
      </w:r>
      <w:r>
        <w:rPr>
          <w:rFonts w:ascii="仿宋_GB2312" w:eastAsia="仿宋_GB2312" w:cs="仿宋_GB2312"/>
          <w:bCs/>
          <w:kern w:val="0"/>
          <w:sz w:val="32"/>
          <w:szCs w:val="32"/>
        </w:rPr>
        <w:t>5.1</w:t>
      </w:r>
      <w:r>
        <w:rPr>
          <w:rFonts w:ascii="仿宋_GB2312" w:eastAsia="仿宋_GB2312" w:cs="仿宋_GB2312" w:hint="eastAsia"/>
          <w:bCs/>
          <w:kern w:val="0"/>
          <w:sz w:val="32"/>
          <w:szCs w:val="32"/>
        </w:rPr>
        <w:t>人才支撑</w:t>
      </w:r>
      <w:r>
        <w:rPr>
          <w:sz w:val="32"/>
          <w:szCs w:val="32"/>
        </w:rPr>
        <w:tab/>
      </w:r>
      <w:r>
        <w:rPr>
          <w:sz w:val="32"/>
          <w:szCs w:val="32"/>
        </w:rPr>
        <w:fldChar w:fldCharType="begin"/>
      </w:r>
      <w:r>
        <w:rPr>
          <w:sz w:val="32"/>
          <w:szCs w:val="32"/>
        </w:rPr>
        <w:instrText>PageRef _Toc84605543 \h</w:instrText>
      </w:r>
      <w:r>
        <w:rPr>
          <w:sz w:val="32"/>
          <w:szCs w:val="32"/>
        </w:rPr>
        <w:fldChar w:fldCharType="separate"/>
      </w:r>
      <w:r>
        <w:rPr>
          <w:sz w:val="32"/>
          <w:szCs w:val="32"/>
        </w:rPr>
        <w:t>26</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"_Toc84605544"</w:instrText>
      </w:r>
      <w:r>
        <w:rPr>
          <w:sz w:val="32"/>
          <w:szCs w:val="32"/>
        </w:rPr>
        <w:fldChar w:fldCharType="separate"/>
      </w:r>
      <w:r>
        <w:rPr>
          <w:rFonts w:ascii="仿宋_GB2312" w:eastAsia="仿宋_GB2312" w:cs="仿宋_GB2312"/>
          <w:bCs/>
          <w:sz w:val="32"/>
          <w:szCs w:val="32"/>
        </w:rPr>
        <w:t>5.2社会服务</w:t>
      </w:r>
      <w:r>
        <w:rPr>
          <w:sz w:val="32"/>
          <w:szCs w:val="32"/>
        </w:rPr>
        <w:tab/>
      </w:r>
      <w:r>
        <w:rPr>
          <w:sz w:val="32"/>
          <w:szCs w:val="32"/>
        </w:rPr>
        <w:fldChar w:fldCharType="begin"/>
      </w:r>
      <w:r>
        <w:rPr>
          <w:sz w:val="32"/>
          <w:szCs w:val="32"/>
        </w:rPr>
        <w:instrText>PageRef _Toc84605544 \h</w:instrText>
      </w:r>
      <w:r>
        <w:rPr>
          <w:sz w:val="32"/>
          <w:szCs w:val="32"/>
        </w:rPr>
        <w:fldChar w:fldCharType="separate"/>
      </w:r>
      <w:r>
        <w:rPr>
          <w:sz w:val="32"/>
          <w:szCs w:val="32"/>
        </w:rPr>
        <w:t>26</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"_Toc84605547"</w:instrText>
      </w:r>
      <w:r>
        <w:rPr>
          <w:sz w:val="32"/>
          <w:szCs w:val="32"/>
        </w:rPr>
        <w:fldChar w:fldCharType="separate"/>
      </w:r>
      <w:r>
        <w:rPr>
          <w:rFonts w:ascii="仿宋_GB2312" w:eastAsia="仿宋_GB2312" w:cs="仿宋_GB2312"/>
          <w:bCs/>
          <w:sz w:val="32"/>
          <w:szCs w:val="32"/>
          <w:shd w:val="clear" w:color="auto" w:fill="FFFFFF"/>
        </w:rPr>
        <w:t>5</w:t>
      </w:r>
      <w:r>
        <w:rPr>
          <w:rFonts w:ascii="仿宋_GB2312" w:eastAsia="仿宋_GB2312" w:cs="仿宋_GB2312" w:hint="eastAsia"/>
          <w:bCs/>
          <w:sz w:val="32"/>
          <w:szCs w:val="32"/>
          <w:shd w:val="clear" w:color="auto" w:fill="FFFFFF"/>
        </w:rPr>
        <w:t>.3对口支援</w:t>
      </w:r>
      <w:r>
        <w:rPr>
          <w:sz w:val="32"/>
          <w:szCs w:val="32"/>
        </w:rPr>
        <w:tab/>
      </w:r>
      <w:r>
        <w:rPr>
          <w:sz w:val="32"/>
          <w:szCs w:val="32"/>
        </w:rPr>
        <w:fldChar w:fldCharType="begin"/>
      </w:r>
      <w:r>
        <w:rPr>
          <w:sz w:val="32"/>
          <w:szCs w:val="32"/>
        </w:rPr>
        <w:instrText>PageRef _Toc84605547 \h</w:instrText>
      </w:r>
      <w:r>
        <w:rPr>
          <w:sz w:val="32"/>
          <w:szCs w:val="32"/>
        </w:rPr>
        <w:fldChar w:fldCharType="separate"/>
      </w:r>
      <w:r>
        <w:rPr>
          <w:sz w:val="32"/>
          <w:szCs w:val="32"/>
        </w:rPr>
        <w:t>33</w:t>
      </w:r>
      <w:r>
        <w:rPr>
          <w:sz w:val="32"/>
          <w:szCs w:val="32"/>
        </w:rPr>
        <w:fldChar w:fldCharType="end"/>
      </w:r>
      <w:r>
        <w:rPr>
          <w:sz w:val="32"/>
          <w:szCs w:val="32"/>
        </w:rPr>
        <w:fldChar w:fldCharType="end"/>
      </w:r>
    </w:p>
    <w:p>
      <w:pPr>
        <w:pStyle w:val="21"/>
        <w:tabs>
          <w:tab w:val="right" w:leader="dot" w:pos="8306"/>
        </w:tabs>
        <w:rPr>
          <w:sz w:val="32"/>
          <w:szCs w:val="32"/>
        </w:rPr>
      </w:pPr>
      <w:r>
        <w:rPr>
          <w:sz w:val="32"/>
          <w:szCs w:val="32"/>
        </w:rPr>
        <w:fldChar w:fldCharType="begin"/>
      </w:r>
      <w:r>
        <w:rPr>
          <w:sz w:val="32"/>
          <w:szCs w:val="32"/>
        </w:rPr>
        <w:instrText>Hyperlink \l "_Toc84605548"</w:instrText>
      </w:r>
      <w:r>
        <w:rPr>
          <w:sz w:val="32"/>
          <w:szCs w:val="32"/>
        </w:rPr>
        <w:fldChar w:fldCharType="separate"/>
      </w:r>
      <w:r>
        <w:rPr>
          <w:rFonts w:ascii="黑体" w:eastAsia="黑体" w:cs="仿宋_GB2312"/>
          <w:sz w:val="32"/>
          <w:szCs w:val="32"/>
          <w:shd w:val="clear" w:color="auto" w:fill="FFFFFF"/>
        </w:rPr>
        <w:t>6.</w:t>
      </w:r>
      <w:r>
        <w:rPr>
          <w:rFonts w:ascii="黑体" w:eastAsia="黑体" w:cs="仿宋_GB2312" w:hint="eastAsia"/>
          <w:sz w:val="32"/>
          <w:szCs w:val="32"/>
          <w:shd w:val="clear" w:color="auto" w:fill="FFFFFF"/>
        </w:rPr>
        <w:t>国际合作</w:t>
      </w:r>
      <w:r>
        <w:rPr>
          <w:sz w:val="32"/>
          <w:szCs w:val="32"/>
        </w:rPr>
        <w:tab/>
      </w:r>
      <w:r>
        <w:rPr>
          <w:sz w:val="32"/>
          <w:szCs w:val="32"/>
        </w:rPr>
        <w:fldChar w:fldCharType="begin"/>
      </w:r>
      <w:r>
        <w:rPr>
          <w:sz w:val="32"/>
          <w:szCs w:val="32"/>
        </w:rPr>
        <w:instrText>PageRef _Toc84605548 \h</w:instrText>
      </w:r>
      <w:r>
        <w:rPr>
          <w:sz w:val="32"/>
          <w:szCs w:val="32"/>
        </w:rPr>
        <w:fldChar w:fldCharType="separate"/>
      </w:r>
      <w:r>
        <w:rPr>
          <w:sz w:val="32"/>
          <w:szCs w:val="32"/>
        </w:rPr>
        <w:t>36</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"_Toc84605549"</w:instrText>
      </w:r>
      <w:r>
        <w:rPr>
          <w:sz w:val="32"/>
          <w:szCs w:val="32"/>
        </w:rPr>
        <w:fldChar w:fldCharType="separate"/>
      </w:r>
      <w:r>
        <w:rPr>
          <w:rFonts w:ascii="仿宋_GB2312" w:eastAsia="仿宋_GB2312" w:cs="仿宋_GB2312"/>
          <w:kern w:val="2"/>
          <w:sz w:val="32"/>
          <w:szCs w:val="32"/>
        </w:rPr>
        <w:t>6.1</w:t>
      </w:r>
      <w:r>
        <w:rPr>
          <w:rFonts w:ascii="仿宋_GB2312" w:eastAsia="仿宋_GB2312" w:cs="仿宋_GB2312" w:hint="eastAsia"/>
          <w:kern w:val="2"/>
          <w:sz w:val="32"/>
          <w:szCs w:val="32"/>
        </w:rPr>
        <w:t>合作平台</w:t>
      </w:r>
      <w:r>
        <w:rPr>
          <w:sz w:val="32"/>
          <w:szCs w:val="32"/>
        </w:rPr>
        <w:tab/>
      </w:r>
      <w:r>
        <w:rPr>
          <w:sz w:val="32"/>
          <w:szCs w:val="32"/>
        </w:rPr>
        <w:fldChar w:fldCharType="begin"/>
      </w:r>
      <w:r>
        <w:rPr>
          <w:sz w:val="32"/>
          <w:szCs w:val="32"/>
        </w:rPr>
        <w:instrText>PageRef _Toc84605549 \h</w:instrText>
      </w:r>
      <w:r>
        <w:rPr>
          <w:sz w:val="32"/>
          <w:szCs w:val="32"/>
        </w:rPr>
        <w:fldChar w:fldCharType="separate"/>
      </w:r>
      <w:r>
        <w:rPr>
          <w:sz w:val="32"/>
          <w:szCs w:val="32"/>
        </w:rPr>
        <w:t>36</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"_Toc84605551"</w:instrText>
      </w:r>
      <w:r>
        <w:rPr>
          <w:sz w:val="32"/>
          <w:szCs w:val="32"/>
        </w:rPr>
        <w:fldChar w:fldCharType="separate"/>
      </w:r>
      <w:r>
        <w:rPr>
          <w:rFonts w:ascii="仿宋_GB2312" w:eastAsia="仿宋_GB2312" w:cs="仿宋_GB2312" w:hint="eastAsia"/>
          <w:kern w:val="2"/>
          <w:sz w:val="32"/>
          <w:szCs w:val="32"/>
        </w:rPr>
        <w:t>6</w:t>
      </w:r>
      <w:r>
        <w:rPr>
          <w:rFonts w:ascii="仿宋_GB2312" w:eastAsia="仿宋_GB2312" w:cs="仿宋_GB2312"/>
          <w:kern w:val="2"/>
          <w:sz w:val="32"/>
          <w:szCs w:val="32"/>
        </w:rPr>
        <w:t xml:space="preserve">.2 </w:t>
      </w:r>
      <w:r>
        <w:rPr>
          <w:rFonts w:ascii="仿宋_GB2312" w:eastAsia="仿宋_GB2312" w:cs="仿宋_GB2312" w:hint="eastAsia"/>
          <w:kern w:val="2"/>
          <w:sz w:val="32"/>
          <w:szCs w:val="32"/>
        </w:rPr>
        <w:t>合作项目</w:t>
      </w:r>
      <w:r>
        <w:rPr>
          <w:sz w:val="32"/>
          <w:szCs w:val="32"/>
        </w:rPr>
        <w:tab/>
      </w:r>
      <w:r>
        <w:rPr>
          <w:sz w:val="32"/>
          <w:szCs w:val="32"/>
        </w:rPr>
        <w:fldChar w:fldCharType="begin"/>
      </w:r>
      <w:r>
        <w:rPr>
          <w:sz w:val="32"/>
          <w:szCs w:val="32"/>
        </w:rPr>
        <w:instrText>PageRef _Toc84605551 \h</w:instrText>
      </w:r>
      <w:r>
        <w:rPr>
          <w:sz w:val="32"/>
          <w:szCs w:val="32"/>
        </w:rPr>
        <w:fldChar w:fldCharType="separate"/>
      </w:r>
      <w:r>
        <w:rPr>
          <w:sz w:val="32"/>
          <w:szCs w:val="32"/>
        </w:rPr>
        <w:t>36</w:t>
      </w:r>
      <w:r>
        <w:rPr>
          <w:sz w:val="32"/>
          <w:szCs w:val="32"/>
        </w:rPr>
        <w:fldChar w:fldCharType="end"/>
      </w:r>
      <w:r>
        <w:rPr>
          <w:sz w:val="32"/>
          <w:szCs w:val="32"/>
        </w:rPr>
        <w:fldChar w:fldCharType="end"/>
      </w:r>
    </w:p>
    <w:p>
      <w:pPr>
        <w:pStyle w:val="21"/>
        <w:tabs>
          <w:tab w:val="right" w:leader="dot" w:pos="8306"/>
        </w:tabs>
        <w:rPr>
          <w:sz w:val="32"/>
          <w:szCs w:val="32"/>
        </w:rPr>
      </w:pPr>
      <w:r>
        <w:rPr>
          <w:sz w:val="32"/>
          <w:szCs w:val="32"/>
        </w:rPr>
        <w:fldChar w:fldCharType="begin"/>
      </w:r>
      <w:r>
        <w:rPr>
          <w:sz w:val="32"/>
          <w:szCs w:val="32"/>
        </w:rPr>
        <w:instrText>Hyperlink \l "_Toc84605553"</w:instrText>
      </w:r>
      <w:r>
        <w:rPr>
          <w:sz w:val="32"/>
          <w:szCs w:val="32"/>
        </w:rPr>
        <w:fldChar w:fldCharType="separate"/>
      </w:r>
      <w:r>
        <w:rPr>
          <w:rFonts w:ascii="黑体" w:eastAsia="黑体"/>
          <w:sz w:val="32"/>
          <w:szCs w:val="32"/>
          <w:shd w:val="clear" w:color="auto" w:fill="FFFFFF"/>
        </w:rPr>
        <w:t>7.</w:t>
      </w:r>
      <w:r>
        <w:rPr>
          <w:rFonts w:ascii="黑体" w:eastAsia="黑体" w:hint="eastAsia"/>
          <w:sz w:val="32"/>
          <w:szCs w:val="32"/>
          <w:shd w:val="clear" w:color="auto" w:fill="FFFFFF"/>
        </w:rPr>
        <w:t>政府履责</w:t>
      </w:r>
      <w:r>
        <w:rPr>
          <w:sz w:val="32"/>
          <w:szCs w:val="32"/>
        </w:rPr>
        <w:tab/>
      </w:r>
      <w:r>
        <w:rPr>
          <w:sz w:val="32"/>
          <w:szCs w:val="32"/>
        </w:rPr>
        <w:fldChar w:fldCharType="begin"/>
      </w:r>
      <w:r>
        <w:rPr>
          <w:sz w:val="32"/>
          <w:szCs w:val="32"/>
        </w:rPr>
        <w:instrText>PageRef _Toc84605553 \h</w:instrText>
      </w:r>
      <w:r>
        <w:rPr>
          <w:sz w:val="32"/>
          <w:szCs w:val="32"/>
        </w:rPr>
        <w:fldChar w:fldCharType="separate"/>
      </w:r>
      <w:r>
        <w:rPr>
          <w:sz w:val="32"/>
          <w:szCs w:val="32"/>
        </w:rPr>
        <w:t>38</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"_Toc84605554"</w:instrText>
      </w:r>
      <w:r>
        <w:rPr>
          <w:sz w:val="32"/>
          <w:szCs w:val="32"/>
        </w:rPr>
        <w:fldChar w:fldCharType="separate"/>
      </w:r>
      <w:r>
        <w:rPr>
          <w:rFonts w:ascii="仿宋_GB2312" w:eastAsia="仿宋_GB2312" w:cs="仿宋_GB2312"/>
          <w:bCs/>
          <w:sz w:val="32"/>
          <w:szCs w:val="32"/>
          <w:shd w:val="clear" w:color="auto" w:fill="FFFFFF"/>
        </w:rPr>
        <w:t>7</w:t>
      </w:r>
      <w:r>
        <w:rPr>
          <w:rFonts w:ascii="仿宋_GB2312" w:eastAsia="仿宋_GB2312" w:cs="仿宋_GB2312" w:hint="eastAsia"/>
          <w:bCs/>
          <w:sz w:val="32"/>
          <w:szCs w:val="32"/>
          <w:shd w:val="clear" w:color="auto" w:fill="FFFFFF"/>
        </w:rPr>
        <w:t>.1政策落实</w:t>
      </w:r>
      <w:r>
        <w:rPr>
          <w:sz w:val="32"/>
          <w:szCs w:val="32"/>
        </w:rPr>
        <w:tab/>
      </w:r>
      <w:r>
        <w:rPr>
          <w:sz w:val="32"/>
          <w:szCs w:val="32"/>
        </w:rPr>
        <w:fldChar w:fldCharType="begin"/>
      </w:r>
      <w:r>
        <w:rPr>
          <w:sz w:val="32"/>
          <w:szCs w:val="32"/>
        </w:rPr>
        <w:instrText>PageRef _Toc84605554 \h</w:instrText>
      </w:r>
      <w:r>
        <w:rPr>
          <w:sz w:val="32"/>
          <w:szCs w:val="32"/>
        </w:rPr>
        <w:fldChar w:fldCharType="separate"/>
      </w:r>
      <w:r>
        <w:rPr>
          <w:sz w:val="32"/>
          <w:szCs w:val="32"/>
        </w:rPr>
        <w:t>38</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"_Toc84605555"</w:instrText>
      </w:r>
      <w:r>
        <w:rPr>
          <w:sz w:val="32"/>
          <w:szCs w:val="32"/>
        </w:rPr>
        <w:fldChar w:fldCharType="separate"/>
      </w:r>
      <w:r>
        <w:rPr>
          <w:rFonts w:ascii="仿宋_GB2312" w:eastAsia="仿宋_GB2312" w:cs="仿宋_GB2312"/>
          <w:bCs/>
          <w:kern w:val="2"/>
          <w:sz w:val="32"/>
          <w:szCs w:val="32"/>
        </w:rPr>
        <w:t>7</w:t>
      </w:r>
      <w:r>
        <w:rPr>
          <w:rFonts w:ascii="仿宋_GB2312" w:eastAsia="仿宋_GB2312" w:cs="仿宋_GB2312" w:hint="eastAsia"/>
          <w:bCs/>
          <w:kern w:val="2"/>
          <w:sz w:val="32"/>
          <w:szCs w:val="32"/>
        </w:rPr>
        <w:t>.2经费保障</w:t>
      </w:r>
      <w:r>
        <w:rPr>
          <w:sz w:val="32"/>
          <w:szCs w:val="32"/>
        </w:rPr>
        <w:tab/>
      </w:r>
      <w:r>
        <w:rPr>
          <w:sz w:val="32"/>
          <w:szCs w:val="32"/>
        </w:rPr>
        <w:fldChar w:fldCharType="begin"/>
      </w:r>
      <w:r>
        <w:rPr>
          <w:sz w:val="32"/>
          <w:szCs w:val="32"/>
        </w:rPr>
        <w:instrText>PageRef _Toc84605555 \h</w:instrText>
      </w:r>
      <w:r>
        <w:rPr>
          <w:sz w:val="32"/>
          <w:szCs w:val="32"/>
        </w:rPr>
        <w:fldChar w:fldCharType="separate"/>
      </w:r>
      <w:r>
        <w:rPr>
          <w:sz w:val="32"/>
          <w:szCs w:val="32"/>
        </w:rPr>
        <w:t>38</w:t>
      </w:r>
      <w:r>
        <w:rPr>
          <w:sz w:val="32"/>
          <w:szCs w:val="32"/>
        </w:rPr>
        <w:fldChar w:fldCharType="end"/>
      </w:r>
      <w:r>
        <w:rPr>
          <w:sz w:val="32"/>
          <w:szCs w:val="32"/>
        </w:rPr>
        <w:fldChar w:fldCharType="end"/>
      </w:r>
    </w:p>
    <w:p>
      <w:pPr>
        <w:pStyle w:val="21"/>
        <w:tabs>
          <w:tab w:val="right" w:leader="dot" w:pos="8306"/>
        </w:tabs>
        <w:rPr>
          <w:sz w:val="32"/>
          <w:szCs w:val="32"/>
        </w:rPr>
      </w:pPr>
      <w:r>
        <w:rPr>
          <w:sz w:val="32"/>
          <w:szCs w:val="32"/>
        </w:rPr>
        <w:fldChar w:fldCharType="begin"/>
      </w:r>
      <w:r>
        <w:rPr>
          <w:sz w:val="32"/>
          <w:szCs w:val="32"/>
        </w:rPr>
        <w:instrText>Hyperlink \l "_Toc84605556"</w:instrText>
      </w:r>
      <w:r>
        <w:rPr>
          <w:sz w:val="32"/>
          <w:szCs w:val="32"/>
        </w:rPr>
        <w:fldChar w:fldCharType="separate"/>
      </w:r>
      <w:r>
        <w:rPr>
          <w:rFonts w:ascii="黑体" w:eastAsia="黑体" w:hint="eastAsia"/>
          <w:sz w:val="32"/>
          <w:szCs w:val="32"/>
          <w:shd w:val="clear" w:color="auto" w:fill="FFFFFF"/>
        </w:rPr>
        <w:t>8.挑战与展望</w:t>
      </w:r>
      <w:r>
        <w:rPr>
          <w:sz w:val="32"/>
          <w:szCs w:val="32"/>
        </w:rPr>
        <w:tab/>
      </w:r>
      <w:r>
        <w:rPr>
          <w:sz w:val="32"/>
          <w:szCs w:val="32"/>
        </w:rPr>
        <w:fldChar w:fldCharType="begin"/>
      </w:r>
      <w:r>
        <w:rPr>
          <w:sz w:val="32"/>
          <w:szCs w:val="32"/>
        </w:rPr>
        <w:instrText>PageRef _Toc84605556 \h</w:instrText>
      </w:r>
      <w:r>
        <w:rPr>
          <w:sz w:val="32"/>
          <w:szCs w:val="32"/>
        </w:rPr>
        <w:fldChar w:fldCharType="separate"/>
      </w:r>
      <w:r>
        <w:rPr>
          <w:sz w:val="32"/>
          <w:szCs w:val="32"/>
        </w:rPr>
        <w:t>39</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"_Toc84605557"</w:instrText>
      </w:r>
      <w:r>
        <w:rPr>
          <w:sz w:val="32"/>
          <w:szCs w:val="32"/>
        </w:rPr>
        <w:fldChar w:fldCharType="separate"/>
      </w:r>
      <w:r>
        <w:rPr>
          <w:rFonts w:ascii="仿宋_GB2312" w:eastAsia="仿宋_GB2312" w:cs="仿宋_GB2312" w:hint="eastAsia"/>
          <w:bCs/>
          <w:kern w:val="2"/>
          <w:sz w:val="32"/>
          <w:szCs w:val="32"/>
        </w:rPr>
        <w:t>8.1 面临挑战</w:t>
      </w:r>
      <w:r>
        <w:rPr>
          <w:sz w:val="32"/>
          <w:szCs w:val="32"/>
        </w:rPr>
        <w:tab/>
      </w:r>
      <w:r>
        <w:rPr>
          <w:sz w:val="32"/>
          <w:szCs w:val="32"/>
        </w:rPr>
        <w:fldChar w:fldCharType="begin"/>
      </w:r>
      <w:r>
        <w:rPr>
          <w:sz w:val="32"/>
          <w:szCs w:val="32"/>
        </w:rPr>
        <w:instrText>PageRef _Toc84605557 \h</w:instrText>
      </w:r>
      <w:r>
        <w:rPr>
          <w:sz w:val="32"/>
          <w:szCs w:val="32"/>
        </w:rPr>
        <w:fldChar w:fldCharType="separate"/>
      </w:r>
      <w:r>
        <w:rPr>
          <w:sz w:val="32"/>
          <w:szCs w:val="32"/>
        </w:rPr>
        <w:t>39</w:t>
      </w:r>
      <w:r>
        <w:rPr>
          <w:sz w:val="32"/>
          <w:szCs w:val="32"/>
        </w:rPr>
        <w:fldChar w:fldCharType="end"/>
      </w:r>
      <w:r>
        <w:rPr>
          <w:sz w:val="32"/>
          <w:szCs w:val="32"/>
        </w:rPr>
        <w:fldChar w:fldCharType="end"/>
      </w:r>
    </w:p>
    <w:p>
      <w:pPr>
        <w:pStyle w:val="22"/>
        <w:tabs>
          <w:tab w:val="right" w:leader="dot" w:pos="8306"/>
        </w:tabs>
        <w:rPr>
          <w:sz w:val="32"/>
          <w:szCs w:val="32"/>
        </w:rPr>
      </w:pPr>
      <w:r>
        <w:rPr>
          <w:sz w:val="32"/>
          <w:szCs w:val="32"/>
        </w:rPr>
        <w:fldChar w:fldCharType="begin"/>
      </w:r>
      <w:r>
        <w:rPr>
          <w:sz w:val="32"/>
          <w:szCs w:val="32"/>
        </w:rPr>
        <w:instrText>Hyperlink \l "_Toc84605558"</w:instrText>
      </w:r>
      <w:r>
        <w:rPr>
          <w:sz w:val="32"/>
          <w:szCs w:val="32"/>
        </w:rPr>
        <w:fldChar w:fldCharType="separate"/>
      </w:r>
      <w:r>
        <w:rPr>
          <w:rFonts w:ascii="仿宋_GB2312" w:eastAsia="仿宋_GB2312" w:cs="仿宋_GB2312" w:hint="eastAsia"/>
          <w:bCs/>
          <w:kern w:val="2"/>
          <w:sz w:val="32"/>
          <w:szCs w:val="32"/>
        </w:rPr>
        <w:t>8.2 未来展望</w:t>
      </w:r>
      <w:r>
        <w:rPr>
          <w:sz w:val="32"/>
          <w:szCs w:val="32"/>
        </w:rPr>
        <w:tab/>
      </w:r>
      <w:r>
        <w:rPr>
          <w:sz w:val="32"/>
          <w:szCs w:val="32"/>
        </w:rPr>
        <w:fldChar w:fldCharType="begin"/>
      </w:r>
      <w:r>
        <w:rPr>
          <w:sz w:val="32"/>
          <w:szCs w:val="32"/>
        </w:rPr>
        <w:instrText>PageRef _Toc84605558 \h</w:instrText>
      </w:r>
      <w:r>
        <w:rPr>
          <w:sz w:val="32"/>
          <w:szCs w:val="32"/>
        </w:rPr>
        <w:fldChar w:fldCharType="separate"/>
      </w:r>
      <w:r>
        <w:rPr>
          <w:sz w:val="32"/>
          <w:szCs w:val="32"/>
        </w:rPr>
        <w:t>40</w:t>
      </w:r>
      <w:r>
        <w:rPr>
          <w:sz w:val="32"/>
          <w:szCs w:val="32"/>
        </w:rPr>
        <w:fldChar w:fldCharType="end"/>
      </w:r>
      <w:r>
        <w:rPr>
          <w:sz w:val="32"/>
          <w:szCs w:val="32"/>
        </w:rPr>
        <w:fldChar w:fldCharType="end"/>
      </w:r>
      <w:r>
        <w:rPr>
          <w:rFonts w:ascii="方正楷体简体" w:eastAsia="方正楷体简体" w:cs="方正楷体简体" w:hint="eastAsia"/>
          <w:b/>
          <w:sz w:val="32"/>
          <w:szCs w:val="32"/>
        </w:rPr>
        <w:fldChar w:fldCharType="end"/>
      </w:r>
    </w:p>
    <w:p>
      <w:pPr>
        <w:kinsoku w:val="0"/>
        <w:overflowPunct w:val="0"/>
        <w:adjustRightInd w:val="0"/>
        <w:snapToGrid w:val="0"/>
        <w:spacing w:line="560" w:lineRule="exact"/>
        <w:ind w:left="0" w:firstLineChars="150" w:firstLine="480"/>
        <w:jc w:val="left"/>
        <w:textAlignment w:val="center"/>
        <w:rPr>
          <w:rFonts w:ascii="仿宋_GB2312" w:eastAsia="仿宋_GB2312" w:cs="仿宋_GB2312" w:hint="eastAsia"/>
          <w:bCs/>
          <w:snapToGrid w:val="0"/>
          <w:w w:val="90"/>
          <w:sz w:val="32"/>
          <w:szCs w:val="32"/>
        </w:rPr>
        <w:sectPr>
          <w:headerReference w:type="default" r:id="rId7"/>
          <w:footerReference w:type="default" r:id="rId8"/>
          <w:pgSz w:w="11906" w:h="16838"/>
          <w:pgMar w:top="1440" w:right="1800" w:bottom="1440" w:left="1800" w:header="851" w:footer="992" w:gutter="0"/>
          <w:docGrid w:type="lines" w:linePitch="312" w:charSpace="0"/>
        </w:sectPr>
      </w:pPr>
      <w:r>
        <w:rPr>
          <w:rFonts w:ascii="黑体" w:eastAsia="黑体"/>
          <w:snapToGrid w:val="0"/>
          <w:kern w:val="0"/>
          <w:sz w:val="32"/>
          <w:szCs w:val="32"/>
          <w:shd w:val="clear" w:color="auto" w:fill="FFFFFF"/>
        </w:rPr>
        <w:t xml:space="preserve"> </w:t>
      </w:r>
    </w:p>
    <w:p>
      <w:pPr>
        <w:jc w:val="center"/>
        <w:outlineLvl w:val="0"/>
        <w:rPr>
          <w:rFonts w:ascii="方正小标宋简体" w:eastAsia="方正小标宋简体" w:cs="方正小标宋简体"/>
          <w:sz w:val="44"/>
          <w:szCs w:val="44"/>
        </w:rPr>
      </w:pPr>
      <w:bookmarkStart w:id="2" w:name="_Toc5590"/>
      <w:bookmarkStart w:id="3" w:name="_Toc9770"/>
      <w:bookmarkStart w:id="4" w:name="_Toc59566725"/>
      <w:bookmarkStart w:id="5" w:name="_Toc2799"/>
      <w:bookmarkStart w:id="6" w:name="_Toc84605517"/>
      <w:r>
        <w:rPr>
          <w:rFonts w:ascii="方正小标宋简体" w:eastAsia="方正小标宋简体" w:cs="方正小标宋简体" w:hint="eastAsia"/>
          <w:sz w:val="44"/>
          <w:szCs w:val="44"/>
        </w:rPr>
        <w:t>淮安市中等职业教育年度质量报告（202</w:t>
      </w:r>
      <w:r>
        <w:rPr>
          <w:rFonts w:ascii="方正小标宋简体" w:eastAsia="方正小标宋简体" w:cs="方正小标宋简体"/>
          <w:sz w:val="44"/>
          <w:szCs w:val="44"/>
        </w:rPr>
        <w:t>2</w:t>
      </w:r>
      <w:r>
        <w:rPr>
          <w:rFonts w:ascii="方正小标宋简体" w:eastAsia="方正小标宋简体" w:cs="方正小标宋简体" w:hint="eastAsia"/>
          <w:sz w:val="44"/>
          <w:szCs w:val="44"/>
        </w:rPr>
        <w:t>）</w:t>
      </w:r>
      <w:bookmarkEnd w:id="0"/>
      <w:bookmarkEnd w:id="2"/>
      <w:bookmarkEnd w:id="3"/>
      <w:bookmarkEnd w:id="4"/>
      <w:bookmarkEnd w:id="5"/>
      <w:bookmarkEnd w:id="6"/>
    </w:p>
    <w:p>
      <w:pPr>
        <w:pStyle w:val="18"/>
        <w:rPr>
          <w:rFonts w:hint="eastAsia"/>
        </w:rPr>
      </w:pPr>
    </w:p>
    <w:p>
      <w:pPr>
        <w:spacing w:line="560" w:lineRule="exact"/>
        <w:ind w:left="0" w:firstLineChars="150" w:firstLine="480"/>
        <w:jc w:val="left"/>
        <w:outlineLvl w:val="0"/>
        <w:rPr>
          <w:rFonts w:ascii="黑体" w:eastAsia="黑体" w:cs="黑体"/>
          <w:sz w:val="32"/>
          <w:szCs w:val="32"/>
        </w:rPr>
      </w:pPr>
      <w:bookmarkStart w:id="7" w:name="_Toc27809_WPSOffice_Level1"/>
      <w:bookmarkStart w:id="8" w:name="_Toc28070"/>
      <w:bookmarkStart w:id="9" w:name="_Toc84605518"/>
      <w:bookmarkStart w:id="10" w:name="_Toc32078"/>
      <w:r>
        <w:rPr>
          <w:rFonts w:ascii="黑体" w:eastAsia="黑体" w:cs="黑体"/>
          <w:sz w:val="32"/>
          <w:szCs w:val="32"/>
        </w:rPr>
        <w:t>1.</w:t>
      </w:r>
      <w:r>
        <w:rPr>
          <w:rFonts w:ascii="黑体" w:eastAsia="黑体" w:cs="黑体" w:hint="eastAsia"/>
          <w:sz w:val="32"/>
          <w:szCs w:val="32"/>
        </w:rPr>
        <w:t>基本情况</w:t>
      </w:r>
      <w:bookmarkEnd w:id="7"/>
      <w:bookmarkEnd w:id="8"/>
      <w:bookmarkEnd w:id="9"/>
      <w:bookmarkEnd w:id="10"/>
    </w:p>
    <w:p>
      <w:pPr>
        <w:spacing w:line="560" w:lineRule="exact"/>
        <w:ind w:firstLineChars="200" w:firstLine="640"/>
        <w:rPr>
          <w:rFonts w:ascii="Times New Roman" w:eastAsia="仿宋_GB2312" w:cs="仿宋_GB2312" w:hAnsi="Times New Roman"/>
          <w:b/>
          <w:bCs/>
          <w:sz w:val="32"/>
          <w:szCs w:val="32"/>
        </w:rPr>
      </w:pPr>
      <w:bookmarkStart w:id="11" w:name="_Toc21068"/>
      <w:bookmarkStart w:id="12" w:name="_Toc27809_WPSOffice_Level2"/>
      <w:bookmarkStart w:id="13" w:name="_Toc16820"/>
      <w:r>
        <w:rPr>
          <w:rFonts w:ascii="Times New Roman" w:eastAsia="仿宋_GB2312" w:cs="仿宋_GB2312" w:hAnsi="Times New Roman" w:hint="eastAsia"/>
          <w:b/>
          <w:bCs/>
          <w:sz w:val="32"/>
          <w:szCs w:val="32"/>
        </w:rPr>
        <w:t>1.1规模和结构</w:t>
      </w:r>
      <w:bookmarkEnd w:id="11"/>
      <w:bookmarkEnd w:id="12"/>
      <w:bookmarkEnd w:id="13"/>
    </w:p>
    <w:p>
      <w:pPr>
        <w:ind w:firstLineChars="200" w:firstLine="640"/>
        <w:rPr>
          <w:rFonts w:ascii="Times New Roman" w:eastAsia="仿宋_GB2312" w:cs="仿宋_GB2312" w:hAnsi="Times New Roman"/>
          <w:sz w:val="32"/>
          <w:szCs w:val="32"/>
        </w:rPr>
      </w:pPr>
      <w:r>
        <w:rPr>
          <w:rFonts w:eastAsia="仿宋_GB2312" w:hint="eastAsia"/>
          <w:color w:val="000000"/>
          <w:kern w:val="0"/>
          <w:sz w:val="32"/>
          <w:szCs w:val="32"/>
        </w:rPr>
        <w:t>淮安市现有</w:t>
      </w:r>
      <w:r>
        <w:rPr>
          <w:rFonts w:ascii="仿宋_GB2312" w:eastAsia="仿宋_GB2312" w:cs="仿宋_GB2312" w:hint="eastAsia"/>
          <w:bCs/>
          <w:sz w:val="32"/>
          <w:szCs w:val="32"/>
        </w:rPr>
        <w:t>中等</w:t>
      </w:r>
      <w:r>
        <w:rPr>
          <w:rFonts w:eastAsia="仿宋_GB2312" w:hint="eastAsia"/>
          <w:color w:val="000000"/>
          <w:kern w:val="0"/>
          <w:sz w:val="32"/>
          <w:szCs w:val="32"/>
        </w:rPr>
        <w:t>职</w:t>
      </w:r>
      <w:r>
        <w:rPr>
          <w:rFonts w:ascii="Times New Roman" w:eastAsia="仿宋_GB2312" w:cs="仿宋_GB2312" w:hAnsi="Times New Roman" w:hint="eastAsia"/>
          <w:sz w:val="32"/>
          <w:szCs w:val="32"/>
        </w:rPr>
        <w:t>业教育学校</w:t>
      </w:r>
      <w:r>
        <w:rPr>
          <w:rFonts w:ascii="Times New Roman" w:eastAsia="仿宋_GB2312" w:hAnsi="Times New Roman"/>
          <w:sz w:val="32"/>
          <w:szCs w:val="32"/>
        </w:rPr>
        <w:t>1</w:t>
      </w:r>
      <w:r>
        <w:rPr>
          <w:rFonts w:ascii="Times New Roman" w:eastAsia="仿宋_GB2312" w:hAnsi="Times New Roman" w:hint="eastAsia"/>
          <w:sz w:val="32"/>
          <w:szCs w:val="32"/>
        </w:rPr>
        <w:t>3</w:t>
      </w:r>
      <w:r>
        <w:rPr>
          <w:rFonts w:ascii="Times New Roman" w:eastAsia="仿宋_GB2312" w:cs="仿宋_GB2312" w:hAnsi="Times New Roman" w:hint="eastAsia"/>
          <w:sz w:val="32"/>
          <w:szCs w:val="32"/>
        </w:rPr>
        <w:t>所（不含技工院校），其中公办11所、民办2所，学校占地总面积232.9万平方米，建筑总面积131.95万平方米。全市中职学校设立三年制中职教育和五年制高职教育两种学制，中职三年制开设136个专业，举办五年制高职的学校5所，开设42个专业。中等职业学校2021年招生27243 人，比2020年增加4016人。2021年全日制在校生38526人，比2020年减少733人。在2</w:t>
      </w:r>
      <w:r>
        <w:rPr>
          <w:rFonts w:ascii="Times New Roman" w:eastAsia="仿宋_GB2312" w:cs="仿宋_GB2312" w:hAnsi="Times New Roman"/>
          <w:sz w:val="32"/>
          <w:szCs w:val="32"/>
        </w:rPr>
        <w:t>021</w:t>
      </w:r>
      <w:r>
        <w:rPr>
          <w:rFonts w:ascii="Times New Roman" w:eastAsia="仿宋_GB2312" w:cs="仿宋_GB2312" w:hAnsi="Times New Roman" w:hint="eastAsia"/>
          <w:sz w:val="32"/>
          <w:szCs w:val="32"/>
        </w:rPr>
        <w:t>年高中阶段招生中，职普比相对2</w:t>
      </w:r>
      <w:r>
        <w:rPr>
          <w:rFonts w:ascii="Times New Roman" w:eastAsia="仿宋_GB2312" w:cs="仿宋_GB2312" w:hAnsi="Times New Roman"/>
          <w:sz w:val="32"/>
          <w:szCs w:val="32"/>
        </w:rPr>
        <w:t>020</w:t>
      </w:r>
      <w:r>
        <w:rPr>
          <w:rFonts w:ascii="Times New Roman" w:eastAsia="仿宋_GB2312" w:cs="仿宋_GB2312" w:hAnsi="Times New Roman" w:hint="eastAsia"/>
          <w:sz w:val="32"/>
          <w:szCs w:val="32"/>
        </w:rPr>
        <w:t>年</w:t>
      </w:r>
      <w:r>
        <w:rPr>
          <w:rFonts w:ascii="Times New Roman" w:eastAsia="仿宋_GB2312" w:cs="仿宋_GB2312" w:hAnsi="Times New Roman"/>
          <w:sz w:val="32"/>
          <w:szCs w:val="32"/>
        </w:rPr>
        <w:t>基本持平</w:t>
      </w:r>
      <w:r>
        <w:rPr>
          <w:rFonts w:ascii="Times New Roman" w:eastAsia="仿宋_GB2312" w:cs="仿宋_GB2312" w:hAnsi="Times New Roman" w:hint="eastAsia"/>
          <w:sz w:val="32"/>
          <w:szCs w:val="32"/>
        </w:rPr>
        <w:t>。目前全市1</w:t>
      </w:r>
      <w:r>
        <w:rPr>
          <w:rFonts w:ascii="Times New Roman" w:eastAsia="仿宋_GB2312" w:cs="仿宋_GB2312" w:hAnsi="Times New Roman"/>
          <w:sz w:val="32"/>
          <w:szCs w:val="32"/>
        </w:rPr>
        <w:t>1</w:t>
      </w:r>
      <w:r>
        <w:rPr>
          <w:rFonts w:ascii="Times New Roman" w:eastAsia="仿宋_GB2312" w:cs="仿宋_GB2312" w:hAnsi="Times New Roman" w:hint="eastAsia"/>
          <w:sz w:val="32"/>
          <w:szCs w:val="32"/>
        </w:rPr>
        <w:t>所公办学校</w:t>
      </w:r>
      <w:r>
        <w:rPr>
          <w:rFonts w:ascii="Times New Roman" w:eastAsia="仿宋_GB2312" w:cs="仿宋_GB2312" w:hAnsi="Times New Roman"/>
          <w:sz w:val="32"/>
          <w:szCs w:val="32"/>
        </w:rPr>
        <w:t>全部创成江苏省现代化示范优质特色校</w:t>
      </w:r>
      <w:r>
        <w:rPr>
          <w:rFonts w:ascii="Times New Roman" w:eastAsia="仿宋_GB2312" w:cs="仿宋_GB2312" w:hAnsi="Times New Roman" w:hint="eastAsia"/>
          <w:sz w:val="32"/>
          <w:szCs w:val="32"/>
        </w:rPr>
        <w:t>，4所学校成为全省领航学校（50所）建设单位。</w:t>
      </w:r>
    </w:p>
    <w:p>
      <w:pPr>
        <w:ind w:firstLineChars="200" w:firstLine="640"/>
        <w:jc w:val="center"/>
        <w:rPr>
          <w:rFonts w:ascii="Times New Roman" w:eastAsia="仿宋_GB2312" w:cs="仿宋_GB2312" w:hAnsi="Times New Roman"/>
          <w:sz w:val="24"/>
        </w:rPr>
      </w:pPr>
      <w:r>
        <w:rPr>
          <w:rFonts w:ascii="Times New Roman" w:eastAsia="仿宋_GB2312" w:cs="仿宋_GB2312" w:hAnsi="Times New Roman"/>
          <w:sz w:val="32"/>
          <w:szCs w:val="32"/>
        </w:rPr>
        <w:drawing>
          <wp:anchor distT="0" distB="0" distL="114300" distR="114300" simplePos="0" relativeHeight="69" behindDoc="0" locked="0" layoutInCell="1" hidden="0" allowOverlap="1">
            <wp:simplePos x="0" y="0"/>
            <wp:positionH relativeFrom="column">
              <wp:posOffset>384232</wp:posOffset>
            </wp:positionH>
            <wp:positionV relativeFrom="paragraph">
              <wp:posOffset>70008</wp:posOffset>
            </wp:positionV>
            <wp:extent cx="5073015" cy="2904490"/>
            <wp:effectExtent l="0" t="0" r="0" b="0"/>
            <wp:wrapTopAndBottom/>
            <wp:docPr id="4" name="图表 3"/>
            <wp:cNvGraphicFramePr>
              <a:graphicFrameLocks noChangeAspect="0"/>
            </wp:cNvGraphicFramePr>
            <a:graphic>
              <a:graphicData uri="http://schemas.openxmlformats.org/drawingml/2006/chart">
                <c:chart xmlns:c="http://schemas.openxmlformats.org/drawingml/2006/chart" r:id="rId10"/>
              </a:graphicData>
            </a:graphic>
          </wp:anchor>
        </w:drawing>
      </w:r>
      <w:r>
        <w:rPr>
          <w:rFonts w:ascii="Times New Roman" w:eastAsia="仿宋_GB2312" w:cs="仿宋_GB2312" w:hAnsi="Times New Roman" w:hint="eastAsia"/>
          <w:sz w:val="24"/>
        </w:rPr>
        <w:t>图</w:t>
      </w:r>
      <w:r>
        <w:rPr>
          <w:rFonts w:ascii="Times New Roman" w:eastAsia="仿宋_GB2312" w:cs="仿宋_GB2312" w:hAnsi="Times New Roman"/>
          <w:sz w:val="24"/>
        </w:rPr>
        <w:t xml:space="preserve">1-1 </w:t>
      </w:r>
      <w:r>
        <w:rPr>
          <w:rFonts w:ascii="Times New Roman" w:eastAsia="仿宋_GB2312" w:cs="仿宋_GB2312" w:hAnsi="Times New Roman" w:hint="eastAsia"/>
          <w:sz w:val="24"/>
        </w:rPr>
        <w:t>：</w:t>
      </w:r>
      <w:r>
        <w:rPr>
          <w:rFonts w:ascii="Times New Roman" w:eastAsia="仿宋_GB2312" w:cs="仿宋_GB2312" w:hAnsi="Times New Roman"/>
          <w:sz w:val="24"/>
        </w:rPr>
        <w:t>2019-2020</w:t>
      </w:r>
      <w:r>
        <w:rPr>
          <w:rFonts w:ascii="Times New Roman" w:eastAsia="仿宋_GB2312" w:cs="仿宋_GB2312" w:hAnsi="Times New Roman" w:hint="eastAsia"/>
          <w:sz w:val="24"/>
        </w:rPr>
        <w:t>、</w:t>
      </w:r>
      <w:r>
        <w:rPr>
          <w:rFonts w:ascii="Times New Roman" w:eastAsia="仿宋_GB2312" w:cs="仿宋_GB2312" w:hAnsi="Times New Roman"/>
          <w:sz w:val="24"/>
        </w:rPr>
        <w:t>2020-2021</w:t>
      </w:r>
      <w:r>
        <w:rPr>
          <w:rFonts w:ascii="Times New Roman" w:eastAsia="仿宋_GB2312" w:cs="仿宋_GB2312" w:hAnsi="Times New Roman" w:hint="eastAsia"/>
          <w:sz w:val="24"/>
        </w:rPr>
        <w:t>学年中职学校学生情况图</w:t>
      </w:r>
    </w:p>
    <w:p>
      <w:r>
        <w:rPr>
          <w:rFonts w:hint="eastAsia"/>
        </w:rPr>
        <w:t xml:space="preserve"> </w:t>
      </w:r>
      <w:r>
        <w:t xml:space="preserve">       </w:t>
      </w:r>
    </w:p>
    <w:p>
      <w:pPr>
        <w:jc w:val="center"/>
        <w:rPr>
          <w:rFonts w:ascii="Times New Roman" w:eastAsia="仿宋_GB2312" w:cs="仿宋_GB2312" w:hAnsi="Times New Roman"/>
          <w:sz w:val="24"/>
        </w:rPr>
      </w:pPr>
    </w:p>
    <w:p>
      <w:pPr>
        <w:jc w:val="center"/>
        <w:rPr>
          <w:rFonts w:ascii="Times New Roman" w:eastAsia="仿宋_GB2312" w:cs="仿宋_GB2312" w:hAnsi="Times New Roman"/>
          <w:sz w:val="24"/>
        </w:rPr>
      </w:pPr>
      <w:r>
        <w:rPr>
          <w:rFonts w:ascii="Times New Roman" w:eastAsia="仿宋_GB2312" w:cs="仿宋_GB2312" w:hAnsi="Times New Roman" w:hint="eastAsia"/>
          <w:sz w:val="24"/>
        </w:rPr>
        <w:t>表1-</w:t>
      </w:r>
      <w:r>
        <w:rPr>
          <w:rFonts w:ascii="Times New Roman" w:eastAsia="仿宋_GB2312" w:cs="仿宋_GB2312" w:hAnsi="Times New Roman"/>
          <w:sz w:val="24"/>
        </w:rPr>
        <w:t>1</w:t>
      </w:r>
      <w:r>
        <w:rPr>
          <w:rFonts w:ascii="Times New Roman" w:eastAsia="仿宋_GB2312" w:cs="仿宋_GB2312" w:hAnsi="Times New Roman" w:hint="eastAsia"/>
          <w:sz w:val="24"/>
        </w:rPr>
        <w:t>：2021年淮安市中职学校布局一览表</w:t>
      </w:r>
    </w:p>
    <w:tbl>
      <w:tblPr>
        <w:tblpPr w:leftFromText="180" w:rightFromText="180" w:vertAnchor="text" w:horzAnchor="page" w:tblpX="1247" w:tblpY="335"/>
        <w:tblOverlap w:val="never"/>
        <w:tblW w:w="9452"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48"/>
        <w:gridCol w:w="2852"/>
        <w:gridCol w:w="708"/>
        <w:gridCol w:w="1644"/>
        <w:gridCol w:w="1692"/>
        <w:gridCol w:w="1908"/>
      </w:tblGrid>
      <w:tr>
        <w:trPr>
          <w:trHeight w:val="624"/>
        </w:trPr>
        <w:tc>
          <w:tcPr>
            <w:tcW w:w="648" w:type="dxa"/>
            <w:tcBorders>
              <w:top w:val="single" w:sz="8" w:space="0" w:color="4BACC6"/>
              <w:left w:val="single" w:sz="8" w:space="0" w:color="4BACC6"/>
              <w:bottom w:val="single" w:sz="18" w:space="0" w:color="FFFFFF"/>
              <w:right w:val="single" w:sz="4" w:space="0" w:color="FFFFFF"/>
            </w:tcBorders>
            <w:shd w:val="clear" w:color="auto" w:fill="4BACC6"/>
            <w:noWrap/>
            <w:tcMar>
              <w:top w:w="15" w:type="dxa"/>
              <w:left w:w="15" w:type="dxa"/>
              <w:right w:w="15" w:type="dxa"/>
            </w:tcMar>
            <w:vAlign w:val="center"/>
          </w:tcPr>
          <w:p>
            <w:pPr>
              <w:widowControl/>
              <w:jc w:val="center"/>
              <w:textAlignment w:val="center"/>
              <w:rPr>
                <w:rFonts w:ascii="宋体" w:cs="宋体"/>
                <w:b/>
                <w:bCs/>
                <w:color w:val="FFFFFF"/>
                <w:szCs w:val="21"/>
              </w:rPr>
            </w:pPr>
            <w:r>
              <w:rPr>
                <w:rFonts w:ascii="宋体" w:cs="宋体" w:hint="eastAsia"/>
                <w:b/>
                <w:bCs/>
                <w:color w:val="FFFFFF"/>
                <w:kern w:val="0"/>
                <w:szCs w:val="21"/>
              </w:rPr>
              <w:t>性质</w:t>
            </w:r>
          </w:p>
        </w:tc>
        <w:tc>
          <w:tcPr>
            <w:tcW w:w="2852" w:type="dxa"/>
            <w:tcBorders>
              <w:top w:val="single" w:sz="8" w:space="0" w:color="4BACC6"/>
              <w:left w:val="single" w:sz="4" w:space="0" w:color="FFFFFF"/>
              <w:bottom w:val="single" w:sz="18" w:space="0" w:color="FFFFFF"/>
              <w:right w:val="single" w:sz="4" w:space="0" w:color="FFFFFF"/>
            </w:tcBorders>
            <w:shd w:val="clear" w:color="auto" w:fill="4BACC6"/>
            <w:noWrap/>
            <w:tcMar>
              <w:top w:w="15" w:type="dxa"/>
              <w:left w:w="15" w:type="dxa"/>
              <w:right w:w="15" w:type="dxa"/>
            </w:tcMar>
            <w:vAlign w:val="center"/>
          </w:tcPr>
          <w:p>
            <w:pPr>
              <w:widowControl/>
              <w:jc w:val="center"/>
              <w:textAlignment w:val="center"/>
              <w:rPr>
                <w:rFonts w:ascii="宋体" w:cs="宋体"/>
                <w:b/>
                <w:bCs/>
                <w:color w:val="FFFFFF"/>
                <w:szCs w:val="21"/>
              </w:rPr>
            </w:pPr>
            <w:r>
              <w:rPr>
                <w:rStyle w:val="32"/>
                <w:rFonts w:ascii="宋体" w:cs="宋体" w:hAnsi="宋体"/>
                <w:b/>
                <w:bCs/>
                <w:color w:val="FFFFFF"/>
              </w:rPr>
              <w:t>学</w:t>
            </w:r>
            <w:r>
              <w:rPr>
                <w:rStyle w:val="34"/>
                <w:rFonts w:ascii="宋体" w:cs="宋体" w:hint="eastAsia"/>
                <w:b/>
                <w:bCs/>
                <w:color w:val="FFFFFF"/>
              </w:rPr>
              <w:t xml:space="preserve">  </w:t>
            </w:r>
            <w:r>
              <w:rPr>
                <w:rStyle w:val="32"/>
                <w:rFonts w:ascii="宋体" w:cs="宋体" w:hAnsi="宋体"/>
                <w:b/>
                <w:bCs/>
                <w:color w:val="FFFFFF"/>
              </w:rPr>
              <w:t>校</w:t>
            </w:r>
          </w:p>
        </w:tc>
        <w:tc>
          <w:tcPr>
            <w:tcW w:w="708" w:type="dxa"/>
            <w:tcBorders>
              <w:top w:val="single" w:sz="8" w:space="0" w:color="4BACC6"/>
              <w:left w:val="single" w:sz="4" w:space="0" w:color="FFFFFF"/>
              <w:bottom w:val="single" w:sz="18" w:space="0" w:color="FFFFFF"/>
              <w:right w:val="single" w:sz="4" w:space="0" w:color="FFFFFF"/>
            </w:tcBorders>
            <w:shd w:val="clear" w:color="auto" w:fill="4BACC6"/>
            <w:noWrap/>
            <w:tcMar>
              <w:top w:w="15" w:type="dxa"/>
              <w:left w:w="15" w:type="dxa"/>
              <w:right w:w="15" w:type="dxa"/>
            </w:tcMar>
            <w:vAlign w:val="center"/>
          </w:tcPr>
          <w:p>
            <w:pPr>
              <w:widowControl/>
              <w:jc w:val="center"/>
              <w:textAlignment w:val="center"/>
              <w:rPr>
                <w:rFonts w:ascii="宋体" w:cs="宋体"/>
                <w:b/>
                <w:bCs/>
                <w:color w:val="FFFFFF"/>
                <w:szCs w:val="21"/>
              </w:rPr>
            </w:pPr>
            <w:r>
              <w:rPr>
                <w:rStyle w:val="32"/>
                <w:rFonts w:ascii="宋体" w:cs="宋体" w:hAnsi="宋体"/>
                <w:b/>
                <w:bCs/>
                <w:color w:val="FFFFFF"/>
              </w:rPr>
              <w:t>县</w:t>
            </w:r>
            <w:r>
              <w:rPr>
                <w:rStyle w:val="34"/>
                <w:rFonts w:ascii="宋体" w:cs="宋体" w:hint="eastAsia"/>
                <w:b/>
                <w:bCs/>
                <w:color w:val="FFFFFF"/>
              </w:rPr>
              <w:t xml:space="preserve"> </w:t>
            </w:r>
            <w:r>
              <w:rPr>
                <w:rStyle w:val="32"/>
                <w:rFonts w:ascii="宋体" w:cs="宋体" w:hAnsi="宋体"/>
                <w:b/>
                <w:bCs/>
                <w:color w:val="FFFFFF"/>
              </w:rPr>
              <w:t>区</w:t>
            </w:r>
          </w:p>
        </w:tc>
        <w:tc>
          <w:tcPr>
            <w:tcW w:w="5244" w:type="dxa"/>
            <w:gridSpan w:val="3"/>
            <w:tcBorders>
              <w:top w:val="single" w:sz="8" w:space="0" w:color="4BACC6"/>
              <w:left w:val="single" w:sz="4" w:space="0" w:color="FFFFFF"/>
              <w:bottom w:val="single" w:sz="18" w:space="0" w:color="FFFFFF"/>
              <w:right w:val="single" w:sz="8" w:space="0" w:color="4BACC6"/>
            </w:tcBorders>
            <w:shd w:val="clear" w:color="auto" w:fill="4BACC6"/>
            <w:noWrap/>
            <w:tcMar>
              <w:top w:w="15" w:type="dxa"/>
              <w:left w:w="15" w:type="dxa"/>
              <w:right w:w="15" w:type="dxa"/>
            </w:tcMar>
            <w:vAlign w:val="center"/>
          </w:tcPr>
          <w:p>
            <w:pPr>
              <w:widowControl/>
              <w:jc w:val="center"/>
              <w:textAlignment w:val="center"/>
              <w:rPr>
                <w:rFonts w:ascii="宋体" w:cs="宋体"/>
                <w:b/>
                <w:bCs/>
                <w:color w:val="FFFFFF"/>
                <w:szCs w:val="21"/>
              </w:rPr>
            </w:pPr>
            <w:r>
              <w:rPr>
                <w:rFonts w:ascii="宋体" w:cs="宋体" w:hint="eastAsia"/>
                <w:b/>
                <w:bCs/>
                <w:color w:val="FFFFFF"/>
                <w:kern w:val="0"/>
                <w:szCs w:val="21"/>
              </w:rPr>
              <w:t>建设成果</w:t>
            </w:r>
          </w:p>
        </w:tc>
      </w:tr>
      <w:tr>
        <w:trPr>
          <w:trHeight w:val="624"/>
        </w:trPr>
        <w:tc>
          <w:tcPr>
            <w:tcW w:w="648" w:type="dxa"/>
            <w:vMerge w:val="restart"/>
            <w:tcBorders>
              <w:top w:val="single" w:sz="18" w:space="0" w:color="FFFFFF"/>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kern w:val="0"/>
                <w:szCs w:val="21"/>
              </w:rPr>
            </w:pPr>
            <w:r>
              <w:rPr>
                <w:rFonts w:ascii="宋体" w:cs="宋体" w:hint="eastAsia"/>
                <w:color w:val="000000"/>
                <w:kern w:val="0"/>
                <w:szCs w:val="21"/>
              </w:rPr>
              <w:t>公办</w:t>
            </w:r>
          </w:p>
          <w:p>
            <w:pPr>
              <w:widowControl/>
              <w:jc w:val="center"/>
              <w:textAlignment w:val="center"/>
              <w:rPr>
                <w:rFonts w:ascii="宋体" w:cs="宋体"/>
                <w:color w:val="000000"/>
                <w:szCs w:val="21"/>
              </w:rPr>
            </w:pPr>
          </w:p>
        </w:tc>
        <w:tc>
          <w:tcPr>
            <w:tcW w:w="2852" w:type="dxa"/>
            <w:tcBorders>
              <w:top w:val="single" w:sz="18" w:space="0" w:color="FFFFFF"/>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Times New Roman" w:hAnsi="Times New Roman"/>
                <w:color w:val="000000"/>
                <w:szCs w:val="21"/>
              </w:rPr>
            </w:pPr>
            <w:r>
              <w:rPr>
                <w:rFonts w:ascii="Times New Roman" w:hAnsi="Times New Roman"/>
                <w:color w:val="000000"/>
                <w:kern w:val="0"/>
                <w:szCs w:val="21"/>
              </w:rPr>
              <w:t>淮安市高级职业技术学校</w:t>
            </w:r>
          </w:p>
        </w:tc>
        <w:tc>
          <w:tcPr>
            <w:tcW w:w="708" w:type="dxa"/>
            <w:vMerge w:val="restart"/>
            <w:tcBorders>
              <w:top w:val="single" w:sz="18" w:space="0" w:color="FFFFFF"/>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Cs w:val="21"/>
              </w:rPr>
              <w:t>市直</w:t>
            </w:r>
          </w:p>
        </w:tc>
        <w:tc>
          <w:tcPr>
            <w:tcW w:w="1644" w:type="dxa"/>
            <w:tcBorders>
              <w:top w:val="single" w:sz="18" w:space="0" w:color="FFFFFF"/>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省现代化示范校</w:t>
            </w:r>
          </w:p>
        </w:tc>
        <w:tc>
          <w:tcPr>
            <w:tcW w:w="1692" w:type="dxa"/>
            <w:tcBorders>
              <w:top w:val="single" w:sz="18" w:space="0" w:color="FFFFFF"/>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四星级中职学校</w:t>
            </w:r>
          </w:p>
        </w:tc>
        <w:tc>
          <w:tcPr>
            <w:tcW w:w="1908" w:type="dxa"/>
            <w:tcBorders>
              <w:top w:val="single" w:sz="18" w:space="0" w:color="FFFFFF"/>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Cs w:val="21"/>
              </w:rPr>
              <w:t>省领航学校</w:t>
            </w:r>
          </w:p>
        </w:tc>
      </w:tr>
      <w:tr>
        <w:trPr>
          <w:trHeight w:val="624"/>
        </w:trPr>
        <w:tc>
          <w:tcPr>
            <w:tcW w:w="648" w:type="dxa"/>
            <w:vMerge/>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tc>
        <w:tc>
          <w:tcPr>
            <w:tcW w:w="2852"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Times New Roman" w:hAnsi="Times New Roman"/>
                <w:color w:val="000000"/>
                <w:szCs w:val="21"/>
              </w:rPr>
            </w:pPr>
            <w:r>
              <w:rPr>
                <w:rFonts w:ascii="Times New Roman" w:hAnsi="Times New Roman"/>
                <w:color w:val="000000"/>
                <w:kern w:val="0"/>
                <w:szCs w:val="21"/>
              </w:rPr>
              <w:t>江苏省淮阴商业学校</w:t>
            </w:r>
          </w:p>
        </w:tc>
        <w:tc>
          <w:tcPr>
            <w:tcW w:w="708" w:type="dxa"/>
            <w:vMerge/>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tc>
        <w:tc>
          <w:tcPr>
            <w:tcW w:w="1644"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省现代化示范校</w:t>
            </w:r>
          </w:p>
        </w:tc>
        <w:tc>
          <w:tcPr>
            <w:tcW w:w="1692"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四星级中职学校</w:t>
            </w:r>
          </w:p>
        </w:tc>
        <w:tc>
          <w:tcPr>
            <w:tcW w:w="1908"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Cs w:val="21"/>
              </w:rPr>
              <w:t>省领航学校</w:t>
            </w:r>
          </w:p>
        </w:tc>
      </w:tr>
      <w:tr>
        <w:trPr>
          <w:trHeight w:val="624"/>
        </w:trPr>
        <w:tc>
          <w:tcPr>
            <w:tcW w:w="648" w:type="dxa"/>
            <w:vMerge/>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tc>
        <w:tc>
          <w:tcPr>
            <w:tcW w:w="2852"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Times New Roman" w:hAnsi="Times New Roman"/>
                <w:color w:val="000000"/>
                <w:szCs w:val="21"/>
              </w:rPr>
            </w:pPr>
            <w:r>
              <w:rPr>
                <w:rFonts w:ascii="Times New Roman" w:hAnsi="Times New Roman"/>
                <w:color w:val="000000"/>
                <w:kern w:val="0"/>
                <w:szCs w:val="21"/>
              </w:rPr>
              <w:t>淮安生物工程高等职业学校</w:t>
            </w:r>
          </w:p>
        </w:tc>
        <w:tc>
          <w:tcPr>
            <w:tcW w:w="708" w:type="dxa"/>
            <w:vMerge/>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tc>
        <w:tc>
          <w:tcPr>
            <w:tcW w:w="1644"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省现代化示范校</w:t>
            </w:r>
          </w:p>
        </w:tc>
        <w:tc>
          <w:tcPr>
            <w:tcW w:w="1692"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四星级中职学校</w:t>
            </w:r>
          </w:p>
        </w:tc>
        <w:tc>
          <w:tcPr>
            <w:tcW w:w="1908"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高水平现代化学校</w:t>
            </w:r>
          </w:p>
        </w:tc>
      </w:tr>
      <w:tr>
        <w:trPr>
          <w:trHeight w:val="624"/>
        </w:trPr>
        <w:tc>
          <w:tcPr>
            <w:tcW w:w="648" w:type="dxa"/>
            <w:vMerge/>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tc>
        <w:tc>
          <w:tcPr>
            <w:tcW w:w="2852"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Times New Roman" w:hAnsi="Times New Roman"/>
                <w:color w:val="000000"/>
                <w:szCs w:val="21"/>
              </w:rPr>
            </w:pPr>
            <w:r>
              <w:rPr>
                <w:rFonts w:ascii="Times New Roman" w:hAnsi="Times New Roman"/>
                <w:color w:val="000000"/>
                <w:kern w:val="0"/>
                <w:szCs w:val="21"/>
              </w:rPr>
              <w:t>江苏省淮安体育运动学校</w:t>
            </w:r>
          </w:p>
        </w:tc>
        <w:tc>
          <w:tcPr>
            <w:tcW w:w="708" w:type="dxa"/>
            <w:vMerge/>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tc>
        <w:tc>
          <w:tcPr>
            <w:tcW w:w="1644"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省优质特色校</w:t>
            </w:r>
          </w:p>
        </w:tc>
        <w:tc>
          <w:tcPr>
            <w:tcW w:w="1692"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四星级中职学校</w:t>
            </w:r>
          </w:p>
        </w:tc>
        <w:tc>
          <w:tcPr>
            <w:tcW w:w="1908"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jc w:val="center"/>
              <w:rPr>
                <w:rFonts w:ascii="宋体" w:cs="宋体"/>
                <w:color w:val="000000"/>
                <w:sz w:val="22"/>
                <w:szCs w:val="22"/>
              </w:rPr>
            </w:pPr>
          </w:p>
        </w:tc>
      </w:tr>
      <w:tr>
        <w:trPr>
          <w:trHeight w:val="624"/>
        </w:trPr>
        <w:tc>
          <w:tcPr>
            <w:tcW w:w="648" w:type="dxa"/>
            <w:vMerge/>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tc>
        <w:tc>
          <w:tcPr>
            <w:tcW w:w="2852"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Times New Roman" w:hAnsi="Times New Roman"/>
                <w:color w:val="000000"/>
                <w:szCs w:val="21"/>
              </w:rPr>
            </w:pPr>
            <w:r>
              <w:rPr>
                <w:rFonts w:ascii="Times New Roman" w:hAnsi="Times New Roman"/>
                <w:color w:val="000000"/>
                <w:kern w:val="0"/>
                <w:szCs w:val="21"/>
              </w:rPr>
              <w:t>淮安文化艺术学校</w:t>
            </w:r>
          </w:p>
        </w:tc>
        <w:tc>
          <w:tcPr>
            <w:tcW w:w="708" w:type="dxa"/>
            <w:vMerge/>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tc>
        <w:tc>
          <w:tcPr>
            <w:tcW w:w="1644"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jc w:val="center"/>
              <w:rPr>
                <w:rFonts w:ascii="宋体" w:cs="宋体"/>
                <w:color w:val="000000"/>
                <w:sz w:val="22"/>
                <w:szCs w:val="22"/>
              </w:rPr>
            </w:pPr>
            <w:r>
              <w:rPr>
                <w:rFonts w:ascii="宋体" w:cs="宋体" w:hint="eastAsia"/>
                <w:color w:val="000000"/>
                <w:kern w:val="0"/>
                <w:sz w:val="22"/>
                <w:szCs w:val="22"/>
              </w:rPr>
              <w:t>省优质特色校</w:t>
            </w:r>
          </w:p>
        </w:tc>
        <w:tc>
          <w:tcPr>
            <w:tcW w:w="1692"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jc w:val="center"/>
              <w:rPr>
                <w:rFonts w:ascii="宋体" w:cs="宋体"/>
                <w:color w:val="000000"/>
                <w:szCs w:val="21"/>
              </w:rPr>
            </w:pPr>
          </w:p>
        </w:tc>
        <w:tc>
          <w:tcPr>
            <w:tcW w:w="1908"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jc w:val="center"/>
              <w:rPr>
                <w:rFonts w:ascii="宋体" w:cs="宋体"/>
                <w:color w:val="000000"/>
                <w:sz w:val="22"/>
                <w:szCs w:val="22"/>
              </w:rPr>
            </w:pPr>
          </w:p>
        </w:tc>
      </w:tr>
      <w:tr>
        <w:trPr>
          <w:trHeight w:val="624"/>
        </w:trPr>
        <w:tc>
          <w:tcPr>
            <w:tcW w:w="648" w:type="dxa"/>
            <w:vMerge/>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tc>
        <w:tc>
          <w:tcPr>
            <w:tcW w:w="2852"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Times New Roman" w:hAnsi="Times New Roman"/>
                <w:color w:val="000000"/>
                <w:szCs w:val="21"/>
              </w:rPr>
            </w:pPr>
            <w:r>
              <w:rPr>
                <w:rStyle w:val="31"/>
              </w:rPr>
              <w:t>江苏省淮安工业中等专业学校</w:t>
            </w:r>
          </w:p>
        </w:tc>
        <w:tc>
          <w:tcPr>
            <w:tcW w:w="708"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Cs w:val="21"/>
              </w:rPr>
              <w:t>淮安区</w:t>
            </w:r>
          </w:p>
        </w:tc>
        <w:tc>
          <w:tcPr>
            <w:tcW w:w="1644"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省现代化示范校</w:t>
            </w:r>
          </w:p>
        </w:tc>
        <w:tc>
          <w:tcPr>
            <w:tcW w:w="1692"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四星级中职学校</w:t>
            </w:r>
          </w:p>
        </w:tc>
        <w:tc>
          <w:tcPr>
            <w:tcW w:w="1908"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jc w:val="center"/>
              <w:rPr>
                <w:rFonts w:ascii="宋体" w:cs="宋体"/>
                <w:color w:val="000000"/>
                <w:sz w:val="22"/>
                <w:szCs w:val="22"/>
              </w:rPr>
            </w:pPr>
          </w:p>
        </w:tc>
      </w:tr>
      <w:tr>
        <w:trPr>
          <w:trHeight w:val="624"/>
        </w:trPr>
        <w:tc>
          <w:tcPr>
            <w:tcW w:w="648" w:type="dxa"/>
            <w:vMerge/>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tc>
        <w:tc>
          <w:tcPr>
            <w:tcW w:w="2852"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Times New Roman" w:hAnsi="Times New Roman"/>
                <w:color w:val="000000"/>
                <w:szCs w:val="21"/>
              </w:rPr>
            </w:pPr>
            <w:r>
              <w:rPr>
                <w:rStyle w:val="31"/>
              </w:rPr>
              <w:t>江苏省淮阴中等专业学校</w:t>
            </w:r>
          </w:p>
        </w:tc>
        <w:tc>
          <w:tcPr>
            <w:tcW w:w="708"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Cs w:val="21"/>
              </w:rPr>
              <w:t>淮阴区</w:t>
            </w:r>
          </w:p>
        </w:tc>
        <w:tc>
          <w:tcPr>
            <w:tcW w:w="1644"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省现代化示范校</w:t>
            </w:r>
          </w:p>
        </w:tc>
        <w:tc>
          <w:tcPr>
            <w:tcW w:w="1692"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四星级中职学校</w:t>
            </w:r>
          </w:p>
        </w:tc>
        <w:tc>
          <w:tcPr>
            <w:tcW w:w="1908"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Cs w:val="21"/>
              </w:rPr>
              <w:t>省领航学校</w:t>
            </w:r>
          </w:p>
        </w:tc>
      </w:tr>
      <w:tr>
        <w:trPr>
          <w:trHeight w:val="624"/>
        </w:trPr>
        <w:tc>
          <w:tcPr>
            <w:tcW w:w="648" w:type="dxa"/>
            <w:vMerge/>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tc>
        <w:tc>
          <w:tcPr>
            <w:tcW w:w="2852"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Times New Roman" w:hAnsi="Times New Roman"/>
                <w:color w:val="000000"/>
                <w:szCs w:val="21"/>
              </w:rPr>
            </w:pPr>
            <w:r>
              <w:rPr>
                <w:rFonts w:ascii="Times New Roman" w:hAnsi="Times New Roman"/>
                <w:color w:val="000000"/>
                <w:kern w:val="0"/>
                <w:szCs w:val="21"/>
              </w:rPr>
              <w:t>江苏省洪泽中等专业学校</w:t>
            </w:r>
          </w:p>
        </w:tc>
        <w:tc>
          <w:tcPr>
            <w:tcW w:w="708"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Cs w:val="21"/>
              </w:rPr>
              <w:t>洪泽区</w:t>
            </w:r>
          </w:p>
        </w:tc>
        <w:tc>
          <w:tcPr>
            <w:tcW w:w="1644"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jc w:val="center"/>
              <w:rPr>
                <w:rFonts w:ascii="宋体" w:cs="宋体"/>
                <w:color w:val="000000"/>
                <w:sz w:val="22"/>
                <w:szCs w:val="22"/>
              </w:rPr>
            </w:pPr>
            <w:r>
              <w:rPr>
                <w:rFonts w:ascii="宋体" w:cs="宋体" w:hint="eastAsia"/>
                <w:color w:val="000000"/>
                <w:kern w:val="0"/>
                <w:sz w:val="22"/>
                <w:szCs w:val="22"/>
              </w:rPr>
              <w:t>省现代化示范校</w:t>
            </w:r>
          </w:p>
        </w:tc>
        <w:tc>
          <w:tcPr>
            <w:tcW w:w="1692"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四星级中职学校</w:t>
            </w:r>
          </w:p>
        </w:tc>
        <w:tc>
          <w:tcPr>
            <w:tcW w:w="1908"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jc w:val="center"/>
              <w:rPr>
                <w:rFonts w:ascii="宋体" w:cs="宋体"/>
                <w:color w:val="000000"/>
                <w:sz w:val="22"/>
                <w:szCs w:val="22"/>
              </w:rPr>
            </w:pPr>
          </w:p>
        </w:tc>
      </w:tr>
      <w:tr>
        <w:trPr>
          <w:trHeight w:val="624"/>
        </w:trPr>
        <w:tc>
          <w:tcPr>
            <w:tcW w:w="648" w:type="dxa"/>
            <w:vMerge/>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tc>
        <w:tc>
          <w:tcPr>
            <w:tcW w:w="2852"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Times New Roman" w:hAnsi="Times New Roman"/>
                <w:color w:val="000000"/>
                <w:szCs w:val="21"/>
              </w:rPr>
            </w:pPr>
            <w:r>
              <w:rPr>
                <w:rStyle w:val="31"/>
              </w:rPr>
              <w:t>江苏省涟水中等专业学校</w:t>
            </w:r>
          </w:p>
        </w:tc>
        <w:tc>
          <w:tcPr>
            <w:tcW w:w="708"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Cs w:val="21"/>
              </w:rPr>
              <w:t>涟水县</w:t>
            </w:r>
          </w:p>
        </w:tc>
        <w:tc>
          <w:tcPr>
            <w:tcW w:w="1644"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省现代化示范校</w:t>
            </w:r>
          </w:p>
        </w:tc>
        <w:tc>
          <w:tcPr>
            <w:tcW w:w="1692"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jc w:val="center"/>
              <w:rPr>
                <w:rFonts w:ascii="宋体" w:cs="宋体"/>
                <w:color w:val="000000"/>
                <w:sz w:val="22"/>
                <w:szCs w:val="22"/>
              </w:rPr>
            </w:pPr>
            <w:r>
              <w:rPr>
                <w:rFonts w:ascii="宋体" w:cs="宋体" w:hint="eastAsia"/>
                <w:color w:val="000000"/>
                <w:kern w:val="0"/>
                <w:sz w:val="22"/>
                <w:szCs w:val="22"/>
              </w:rPr>
              <w:t>四星级中职学校</w:t>
            </w:r>
          </w:p>
        </w:tc>
        <w:tc>
          <w:tcPr>
            <w:tcW w:w="1908"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jc w:val="center"/>
              <w:rPr>
                <w:rFonts w:ascii="宋体" w:cs="宋体"/>
                <w:color w:val="000000"/>
                <w:sz w:val="22"/>
                <w:szCs w:val="22"/>
              </w:rPr>
            </w:pPr>
          </w:p>
        </w:tc>
      </w:tr>
      <w:tr>
        <w:trPr>
          <w:trHeight w:val="624"/>
        </w:trPr>
        <w:tc>
          <w:tcPr>
            <w:tcW w:w="648" w:type="dxa"/>
            <w:vMerge/>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tc>
        <w:tc>
          <w:tcPr>
            <w:tcW w:w="2852"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Times New Roman" w:hAnsi="Times New Roman"/>
                <w:color w:val="000000"/>
                <w:szCs w:val="21"/>
              </w:rPr>
            </w:pPr>
            <w:r>
              <w:rPr>
                <w:rFonts w:ascii="Times New Roman" w:hAnsi="Times New Roman"/>
                <w:color w:val="000000"/>
                <w:kern w:val="0"/>
                <w:szCs w:val="21"/>
              </w:rPr>
              <w:t>江苏省盱眙中等专业学校</w:t>
            </w:r>
          </w:p>
        </w:tc>
        <w:tc>
          <w:tcPr>
            <w:tcW w:w="708"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Cs w:val="21"/>
              </w:rPr>
              <w:t>盱眙县</w:t>
            </w:r>
          </w:p>
        </w:tc>
        <w:tc>
          <w:tcPr>
            <w:tcW w:w="1644"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 w:val="22"/>
                <w:szCs w:val="22"/>
              </w:rPr>
              <w:t>省现代化示范校</w:t>
            </w:r>
          </w:p>
        </w:tc>
        <w:tc>
          <w:tcPr>
            <w:tcW w:w="1692"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四星级中职学校</w:t>
            </w:r>
          </w:p>
        </w:tc>
        <w:tc>
          <w:tcPr>
            <w:tcW w:w="1908"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kern w:val="0"/>
                <w:szCs w:val="21"/>
              </w:rPr>
              <w:t>省领航学校</w:t>
            </w:r>
          </w:p>
        </w:tc>
      </w:tr>
      <w:tr>
        <w:trPr>
          <w:trHeight w:val="624"/>
        </w:trPr>
        <w:tc>
          <w:tcPr>
            <w:tcW w:w="648" w:type="dxa"/>
            <w:vMerge/>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tc>
        <w:tc>
          <w:tcPr>
            <w:tcW w:w="2852"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Times New Roman" w:hAnsi="Times New Roman"/>
                <w:color w:val="000000"/>
                <w:szCs w:val="21"/>
              </w:rPr>
            </w:pPr>
            <w:r>
              <w:rPr>
                <w:rStyle w:val="31"/>
              </w:rPr>
              <w:t>江苏省金湖中等专业学校</w:t>
            </w:r>
          </w:p>
        </w:tc>
        <w:tc>
          <w:tcPr>
            <w:tcW w:w="708"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Cs w:val="21"/>
              </w:rPr>
              <w:t>金湖县</w:t>
            </w:r>
          </w:p>
        </w:tc>
        <w:tc>
          <w:tcPr>
            <w:tcW w:w="1644"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 w:val="22"/>
                <w:szCs w:val="22"/>
              </w:rPr>
            </w:pPr>
            <w:r>
              <w:rPr>
                <w:rFonts w:ascii="宋体" w:cs="宋体" w:hint="eastAsia"/>
                <w:color w:val="000000"/>
                <w:sz w:val="22"/>
                <w:szCs w:val="22"/>
              </w:rPr>
              <w:t>省优质特色校</w:t>
            </w:r>
          </w:p>
        </w:tc>
        <w:tc>
          <w:tcPr>
            <w:tcW w:w="1692"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jc w:val="center"/>
              <w:rPr>
                <w:rFonts w:ascii="宋体" w:cs="宋体"/>
                <w:color w:val="000000"/>
                <w:sz w:val="22"/>
                <w:szCs w:val="22"/>
              </w:rPr>
            </w:pPr>
            <w:r>
              <w:rPr>
                <w:rFonts w:ascii="宋体" w:cs="宋体" w:hint="eastAsia"/>
                <w:color w:val="000000"/>
                <w:kern w:val="0"/>
                <w:sz w:val="22"/>
                <w:szCs w:val="22"/>
              </w:rPr>
              <w:t>四星级中职学校</w:t>
            </w:r>
          </w:p>
        </w:tc>
        <w:tc>
          <w:tcPr>
            <w:tcW w:w="1908"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jc w:val="center"/>
              <w:rPr>
                <w:rFonts w:ascii="宋体" w:cs="宋体"/>
                <w:color w:val="000000"/>
                <w:sz w:val="22"/>
                <w:szCs w:val="22"/>
              </w:rPr>
            </w:pPr>
          </w:p>
        </w:tc>
      </w:tr>
      <w:tr>
        <w:trPr>
          <w:trHeight w:val="624"/>
        </w:trPr>
        <w:tc>
          <w:tcPr>
            <w:tcW w:w="648" w:type="dxa"/>
            <w:vMerge w:val="restart"/>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Cs w:val="21"/>
              </w:rPr>
              <w:t>民办</w:t>
            </w:r>
          </w:p>
        </w:tc>
        <w:tc>
          <w:tcPr>
            <w:tcW w:w="2852"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Times New Roman" w:hAnsi="Times New Roman"/>
                <w:color w:val="000000"/>
                <w:szCs w:val="21"/>
              </w:rPr>
            </w:pPr>
            <w:r>
              <w:rPr>
                <w:rStyle w:val="31"/>
              </w:rPr>
              <w:t>淮安华丰职业技术学校</w:t>
            </w:r>
          </w:p>
        </w:tc>
        <w:tc>
          <w:tcPr>
            <w:tcW w:w="708"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kern w:val="0"/>
                <w:szCs w:val="21"/>
              </w:rPr>
            </w:pPr>
            <w:r>
              <w:rPr>
                <w:rFonts w:ascii="宋体" w:cs="宋体" w:hint="eastAsia"/>
                <w:color w:val="000000"/>
                <w:kern w:val="0"/>
                <w:szCs w:val="21"/>
              </w:rPr>
              <w:t>淮安区</w:t>
            </w:r>
          </w:p>
        </w:tc>
        <w:tc>
          <w:tcPr>
            <w:tcW w:w="1644"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jc w:val="center"/>
              <w:rPr>
                <w:rFonts w:ascii="宋体" w:cs="宋体"/>
                <w:color w:val="000000"/>
                <w:sz w:val="22"/>
                <w:szCs w:val="22"/>
              </w:rPr>
            </w:pPr>
          </w:p>
        </w:tc>
        <w:tc>
          <w:tcPr>
            <w:tcW w:w="1692"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jc w:val="center"/>
              <w:rPr>
                <w:rFonts w:ascii="宋体" w:cs="宋体"/>
                <w:color w:val="000000"/>
                <w:szCs w:val="21"/>
              </w:rPr>
            </w:pPr>
          </w:p>
        </w:tc>
        <w:tc>
          <w:tcPr>
            <w:tcW w:w="1908"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jc w:val="center"/>
              <w:rPr>
                <w:rFonts w:ascii="宋体" w:cs="宋体"/>
                <w:color w:val="000000"/>
                <w:sz w:val="22"/>
                <w:szCs w:val="22"/>
              </w:rPr>
            </w:pPr>
          </w:p>
        </w:tc>
      </w:tr>
      <w:tr>
        <w:trPr>
          <w:trHeight w:val="624"/>
        </w:trPr>
        <w:tc>
          <w:tcPr>
            <w:tcW w:w="648" w:type="dxa"/>
            <w:vMerge/>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tc>
        <w:tc>
          <w:tcPr>
            <w:tcW w:w="2852"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Times New Roman" w:hAnsi="Times New Roman"/>
                <w:color w:val="000000"/>
                <w:szCs w:val="21"/>
              </w:rPr>
            </w:pPr>
            <w:r>
              <w:rPr>
                <w:rStyle w:val="31"/>
              </w:rPr>
              <w:t>淮安辅仁职业技术学校</w:t>
            </w:r>
          </w:p>
        </w:tc>
        <w:tc>
          <w:tcPr>
            <w:tcW w:w="708"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kern w:val="0"/>
                <w:szCs w:val="21"/>
              </w:rPr>
            </w:pPr>
            <w:r>
              <w:rPr>
                <w:rFonts w:ascii="宋体" w:cs="宋体" w:hint="eastAsia"/>
                <w:color w:val="000000"/>
                <w:kern w:val="0"/>
                <w:szCs w:val="21"/>
              </w:rPr>
              <w:t>涟水县</w:t>
            </w:r>
          </w:p>
        </w:tc>
        <w:tc>
          <w:tcPr>
            <w:tcW w:w="1644"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jc w:val="center"/>
              <w:rPr>
                <w:rFonts w:ascii="宋体" w:cs="宋体"/>
                <w:color w:val="000000"/>
                <w:sz w:val="22"/>
                <w:szCs w:val="22"/>
              </w:rPr>
            </w:pPr>
          </w:p>
        </w:tc>
        <w:tc>
          <w:tcPr>
            <w:tcW w:w="1692"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jc w:val="center"/>
              <w:rPr>
                <w:rFonts w:ascii="宋体" w:cs="宋体"/>
                <w:color w:val="000000"/>
                <w:szCs w:val="21"/>
              </w:rPr>
            </w:pPr>
          </w:p>
        </w:tc>
        <w:tc>
          <w:tcPr>
            <w:tcW w:w="1908"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jc w:val="center"/>
              <w:rPr>
                <w:rFonts w:ascii="宋体" w:cs="宋体"/>
                <w:color w:val="000000"/>
                <w:sz w:val="22"/>
                <w:szCs w:val="22"/>
              </w:rPr>
            </w:pPr>
          </w:p>
        </w:tc>
      </w:tr>
    </w:tbl>
    <w:p>
      <w:pPr>
        <w:widowControl/>
        <w:ind w:firstLineChars="200" w:firstLine="640"/>
        <w:rPr>
          <w:rFonts w:ascii="仿宋_GB2312" w:eastAsia="仿宋_GB2312" w:cs="仿宋_GB2312"/>
          <w:sz w:val="32"/>
          <w:szCs w:val="32"/>
        </w:rPr>
      </w:pPr>
    </w:p>
    <w:p>
      <w:pPr>
        <w:widowControl/>
        <w:ind w:firstLineChars="200" w:firstLine="640"/>
        <w:rPr>
          <w:rFonts w:ascii="仿宋_GB2312" w:eastAsia="仿宋_GB2312" w:cs="仿宋_GB2312"/>
          <w:sz w:val="32"/>
          <w:szCs w:val="32"/>
        </w:rPr>
      </w:pPr>
      <w:r>
        <w:rPr>
          <w:rFonts w:ascii="仿宋_GB2312" w:eastAsia="仿宋_GB2312" w:cs="仿宋_GB2312"/>
          <w:sz w:val="32"/>
          <w:szCs w:val="32"/>
        </w:rPr>
        <w:t>2020年全市职业学校在校生数中，公办学校占比93.14%，民办学校占比6.86%。2021年全市职业学校在校生数中，公办学校占比91.75%，民办学校占比8.25%。</w:t>
      </w:r>
    </w:p>
    <w:p>
      <w:r>
        <w:rPr>
          <w:rFonts w:hint="eastAsia"/>
        </w:rPr>
        <w:drawing>
          <wp:anchor distT="0" distB="0" distL="114300" distR="114300" simplePos="0" relativeHeight="71" behindDoc="0" locked="0" layoutInCell="1" hidden="0" allowOverlap="1">
            <wp:simplePos x="0" y="0"/>
            <wp:positionH relativeFrom="column">
              <wp:posOffset>1130886</wp:posOffset>
            </wp:positionH>
            <wp:positionV relativeFrom="paragraph">
              <wp:posOffset>267934</wp:posOffset>
            </wp:positionV>
            <wp:extent cx="3422650" cy="2240915"/>
            <wp:effectExtent l="0" t="0" r="0" b="0"/>
            <wp:wrapTopAndBottom/>
            <wp:docPr id="5" name="图表 1"/>
            <wp:cNvGraphicFramePr>
              <a:graphicFrameLocks noChangeAspect="0"/>
            </wp:cNvGraphicFramePr>
            <a:graphic>
              <a:graphicData uri="http://schemas.openxmlformats.org/drawingml/2006/chart">
                <c:chart xmlns:c="http://schemas.openxmlformats.org/drawingml/2006/chart" r:id="rId11"/>
              </a:graphicData>
            </a:graphic>
          </wp:anchor>
        </w:drawing>
      </w:r>
    </w:p>
    <w:p>
      <w:pPr>
        <w:widowControl/>
        <w:jc w:val="center"/>
        <w:rPr>
          <w:rFonts w:ascii="Times New Roman" w:eastAsia="仿宋_GB2312" w:cs="仿宋_GB2312" w:hAnsi="Times New Roman"/>
          <w:sz w:val="24"/>
        </w:rPr>
      </w:pPr>
      <w:r>
        <w:rPr>
          <w:rFonts w:ascii="Times New Roman" w:eastAsia="仿宋_GB2312" w:cs="仿宋_GB2312" w:hAnsi="Times New Roman" w:hint="eastAsia"/>
          <w:sz w:val="24"/>
        </w:rPr>
        <w:t>图1-</w:t>
      </w:r>
      <w:r>
        <w:rPr>
          <w:rFonts w:ascii="Times New Roman" w:eastAsia="仿宋_GB2312" w:cs="仿宋_GB2312" w:hAnsi="Times New Roman"/>
          <w:sz w:val="24"/>
        </w:rPr>
        <w:t>2</w:t>
      </w:r>
      <w:r>
        <w:rPr>
          <w:rFonts w:ascii="Times New Roman" w:eastAsia="仿宋_GB2312" w:cs="仿宋_GB2312" w:hAnsi="Times New Roman" w:hint="eastAsia"/>
          <w:sz w:val="24"/>
        </w:rPr>
        <w:t>：公办、民办学校2</w:t>
      </w:r>
      <w:r>
        <w:rPr>
          <w:rFonts w:ascii="Times New Roman" w:eastAsia="仿宋_GB2312" w:cs="仿宋_GB2312" w:hAnsi="Times New Roman"/>
          <w:sz w:val="24"/>
        </w:rPr>
        <w:t>021</w:t>
      </w:r>
      <w:r>
        <w:rPr>
          <w:rFonts w:ascii="Times New Roman" w:eastAsia="仿宋_GB2312" w:cs="仿宋_GB2312" w:hAnsi="Times New Roman" w:hint="eastAsia"/>
          <w:sz w:val="24"/>
        </w:rPr>
        <w:t>年办学规模占比图</w:t>
      </w:r>
    </w:p>
    <w:p/>
    <w:p>
      <w:pPr>
        <w:pStyle w:val="18"/>
        <w:ind w:leftChars="0" w:left="0" w:firstLineChars="200" w:firstLine="640"/>
        <w:rPr>
          <w:rFonts w:eastAsia="宋体"/>
          <w:lang w:val="en-US" w:eastAsia="zh-CN"/>
        </w:rPr>
      </w:pPr>
      <w:r>
        <w:rPr>
          <w:rFonts w:ascii="仿宋_GB2312" w:eastAsia="仿宋_GB2312" w:cs="仿宋_GB2312" w:hint="eastAsia"/>
          <w:sz w:val="32"/>
          <w:szCs w:val="32"/>
          <w:lang w:val="en-US" w:eastAsia="zh-CN"/>
        </w:rPr>
        <w:t>推进提质培优。全市各学校共承担了101项教育部提质培优项目。</w:t>
      </w:r>
      <w:r>
        <w:rPr>
          <w:rFonts w:ascii="仿宋_GB2312" w:eastAsia="仿宋_GB2312" w:cs="仿宋_GB2312"/>
          <w:sz w:val="32"/>
          <w:szCs w:val="32"/>
        </w:rPr>
        <w:t>各职业学校积极</w:t>
      </w:r>
      <w:r>
        <w:rPr>
          <w:rFonts w:ascii="仿宋_GB2312" w:eastAsia="仿宋_GB2312" w:cs="仿宋_GB2312" w:hint="eastAsia"/>
          <w:sz w:val="32"/>
          <w:szCs w:val="32"/>
          <w:lang w:val="en-US" w:eastAsia="zh-CN"/>
        </w:rPr>
        <w:t>根据承接的任务</w:t>
      </w:r>
      <w:r>
        <w:rPr>
          <w:rFonts w:ascii="仿宋_GB2312" w:eastAsia="仿宋_GB2312" w:cs="仿宋_GB2312"/>
          <w:sz w:val="32"/>
          <w:szCs w:val="32"/>
        </w:rPr>
        <w:t>，从师资队伍建设、师生比改善、名班主任建设、人才培养方案公开、健全多级教学比赛制度等方面进行建设，</w:t>
      </w:r>
      <w:r>
        <w:rPr>
          <w:rFonts w:ascii="仿宋_GB2312" w:eastAsia="仿宋_GB2312" w:cs="仿宋_GB2312" w:hint="eastAsia"/>
          <w:sz w:val="32"/>
          <w:szCs w:val="32"/>
          <w:lang w:val="en-US" w:eastAsia="zh-CN"/>
        </w:rPr>
        <w:t>各项任务按序时推进，</w:t>
      </w:r>
      <w:r>
        <w:rPr>
          <w:rFonts w:ascii="仿宋_GB2312" w:eastAsia="仿宋_GB2312" w:cs="仿宋_GB2312"/>
          <w:sz w:val="32"/>
          <w:szCs w:val="32"/>
        </w:rPr>
        <w:t>建设成效</w:t>
      </w:r>
      <w:r>
        <w:rPr>
          <w:rFonts w:ascii="仿宋_GB2312" w:eastAsia="仿宋_GB2312" w:cs="仿宋_GB2312" w:hint="eastAsia"/>
          <w:sz w:val="32"/>
          <w:szCs w:val="32"/>
          <w:lang w:val="en-US" w:eastAsia="zh-CN"/>
        </w:rPr>
        <w:t>明显</w:t>
      </w:r>
      <w:r>
        <w:rPr>
          <w:rFonts w:ascii="仿宋_GB2312" w:eastAsia="仿宋_GB2312" w:cs="仿宋_GB2312"/>
          <w:sz w:val="32"/>
          <w:szCs w:val="32"/>
        </w:rPr>
        <w:t>。</w:t>
      </w:r>
    </w:p>
    <w:p>
      <w:pPr>
        <w:ind w:firstLine="640"/>
        <w:outlineLvl w:val="1"/>
        <w:rPr>
          <w:rFonts w:ascii="仿宋_GB2312" w:eastAsia="仿宋_GB2312" w:cs="仿宋_GB2312"/>
          <w:b/>
          <w:bCs/>
          <w:sz w:val="32"/>
          <w:szCs w:val="32"/>
        </w:rPr>
      </w:pPr>
      <w:bookmarkStart w:id="14" w:name="_Toc10492_WPSOffice_Level2"/>
      <w:bookmarkStart w:id="15" w:name="_Toc84605519"/>
      <w:r>
        <w:rPr>
          <w:rFonts w:ascii="宋体" w:eastAsia="方正仿宋_GBK" w:cs="宋体" w:hAnsi="宋体" w:hint="eastAsia"/>
          <w:sz w:val="24"/>
        </w:rPr>
        <w:t xml:space="preserve"> </w:t>
      </w:r>
      <w:bookmarkStart w:id="16" w:name="_Toc4680"/>
      <w:bookmarkStart w:id="17" w:name="_Toc27321"/>
      <w:r>
        <w:rPr>
          <w:rFonts w:ascii="仿宋_GB2312" w:eastAsia="仿宋_GB2312" w:cs="仿宋_GB2312" w:hint="eastAsia"/>
          <w:b/>
          <w:bCs/>
          <w:sz w:val="32"/>
          <w:szCs w:val="32"/>
        </w:rPr>
        <w:t>1.2设施设备</w:t>
      </w:r>
      <w:bookmarkEnd w:id="14"/>
      <w:bookmarkEnd w:id="15"/>
      <w:bookmarkEnd w:id="16"/>
      <w:bookmarkEnd w:id="17"/>
    </w:p>
    <w:p>
      <w:pPr>
        <w:ind w:firstLineChars="200" w:firstLine="640"/>
        <w:rPr>
          <w:rFonts w:ascii="仿宋_GB2312" w:eastAsia="仿宋_GB2312" w:cs="仿宋_GB2312"/>
          <w:sz w:val="32"/>
          <w:szCs w:val="32"/>
        </w:rPr>
      </w:pPr>
      <w:r>
        <w:rPr>
          <w:rFonts w:ascii="仿宋_GB2312" w:eastAsia="仿宋_GB2312" w:cs="仿宋_GB2312"/>
          <w:sz w:val="32"/>
          <w:szCs w:val="32"/>
        </w:rPr>
        <w:t>全市中等职业学校占地总面积232.9万平方米，生均占地面积56.57平方米，建筑总面积131.95万平方米，生均建筑面积31.64平方米。教学仪器总设备值51909.34万元，较2020年增加560.24万元，生均设备值达13482元，较2020年增加403元/生；实训实工位43133个，较2019年增加1332个；学校纸质图书108.9万册。</w:t>
      </w:r>
    </w:p>
    <w:p>
      <w:pPr>
        <w:pStyle w:val="16"/>
        <w:spacing w:line="440" w:lineRule="exact"/>
        <w:jc w:val="center"/>
        <w:rPr>
          <w:rFonts w:ascii="Times New Roman" w:eastAsia="仿宋_GB2312" w:cs="仿宋_GB2312" w:hAnsi="Times New Roman"/>
          <w:sz w:val="24"/>
        </w:rPr>
      </w:pPr>
      <w:r>
        <w:rPr>
          <w:rFonts w:ascii="Times New Roman" w:eastAsia="仿宋_GB2312" w:cs="仿宋_GB2312" w:hAnsi="Times New Roman" w:hint="eastAsia"/>
          <w:sz w:val="24"/>
        </w:rPr>
        <w:t>表1-</w:t>
      </w:r>
      <w:r>
        <w:rPr>
          <w:rFonts w:ascii="Times New Roman" w:eastAsia="仿宋_GB2312" w:cs="仿宋_GB2312" w:hAnsi="Times New Roman"/>
          <w:sz w:val="24"/>
        </w:rPr>
        <w:t>2</w:t>
      </w:r>
      <w:r>
        <w:rPr>
          <w:rFonts w:ascii="Times New Roman" w:eastAsia="仿宋_GB2312" w:cs="仿宋_GB2312" w:hAnsi="Times New Roman" w:hint="eastAsia"/>
          <w:sz w:val="24"/>
        </w:rPr>
        <w:t>：2019-2020、2020-2021学年中职学校办学基础条件</w:t>
      </w:r>
    </w:p>
    <w:tbl>
      <w:tblPr>
        <w:jc w:val="center"/>
        <w:tblW w:w="7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718"/>
        <w:gridCol w:w="1245"/>
        <w:gridCol w:w="1950"/>
        <w:gridCol w:w="1906"/>
      </w:tblGrid>
      <w:tr>
        <w:trPr>
          <w:trHeight w:val="351"/>
        </w:trPr>
        <w:tc>
          <w:tcPr>
            <w:tcW w:w="2718" w:type="dxa"/>
            <w:tcBorders>
              <w:top w:val="single" w:sz="8" w:space="0" w:color="4BACC6"/>
              <w:left w:val="single" w:sz="8" w:space="0" w:color="4BACC6"/>
              <w:bottom w:val="single" w:sz="18" w:space="0" w:color="FFFFFF"/>
              <w:right w:val="single" w:sz="4" w:space="0" w:color="FFFFFF"/>
            </w:tcBorders>
            <w:shd w:val="clear" w:color="000000" w:fill="4BACC6"/>
            <w:noWrap/>
            <w:vAlign w:val="center"/>
          </w:tcPr>
          <w:p>
            <w:pPr>
              <w:widowControl/>
              <w:jc w:val="center"/>
              <w:rPr>
                <w:rFonts w:ascii="宋体" w:cs="宋体"/>
                <w:b/>
                <w:bCs/>
                <w:color w:val="FFFFFF"/>
                <w:kern w:val="0"/>
                <w:sz w:val="24"/>
              </w:rPr>
            </w:pPr>
            <w:r>
              <w:rPr>
                <w:rFonts w:ascii="宋体" w:cs="宋体" w:hint="eastAsia"/>
                <w:b/>
                <w:bCs/>
                <w:color w:val="FFFFFF"/>
                <w:kern w:val="0"/>
                <w:sz w:val="24"/>
              </w:rPr>
              <w:t>指标</w:t>
            </w:r>
          </w:p>
        </w:tc>
        <w:tc>
          <w:tcPr>
            <w:tcW w:w="1245" w:type="dxa"/>
            <w:tcBorders>
              <w:top w:val="single" w:sz="8" w:space="0" w:color="4BACC6"/>
              <w:left w:val="single" w:sz="4" w:space="0" w:color="FFFFFF"/>
              <w:bottom w:val="single" w:sz="18" w:space="0" w:color="FFFFFF"/>
              <w:right w:val="single" w:sz="4" w:space="0" w:color="FFFFFF"/>
            </w:tcBorders>
            <w:shd w:val="clear" w:color="000000" w:fill="4BACC6"/>
            <w:noWrap/>
            <w:vAlign w:val="center"/>
          </w:tcPr>
          <w:p>
            <w:pPr>
              <w:widowControl/>
              <w:jc w:val="center"/>
              <w:rPr>
                <w:rFonts w:ascii="宋体" w:cs="宋体"/>
                <w:b/>
                <w:bCs/>
                <w:color w:val="FFFFFF"/>
                <w:kern w:val="0"/>
                <w:sz w:val="24"/>
              </w:rPr>
            </w:pPr>
            <w:r>
              <w:rPr>
                <w:rFonts w:ascii="宋体" w:cs="宋体" w:hint="eastAsia"/>
                <w:b/>
                <w:bCs/>
                <w:color w:val="FFFFFF"/>
                <w:kern w:val="0"/>
                <w:sz w:val="24"/>
              </w:rPr>
              <w:t>单位</w:t>
            </w:r>
          </w:p>
        </w:tc>
        <w:tc>
          <w:tcPr>
            <w:tcW w:w="1950" w:type="dxa"/>
            <w:tcBorders>
              <w:top w:val="single" w:sz="8" w:space="0" w:color="4BACC6"/>
              <w:left w:val="single" w:sz="4" w:space="0" w:color="FFFFFF"/>
              <w:bottom w:val="single" w:sz="18" w:space="0" w:color="FFFFFF"/>
              <w:right w:val="single" w:sz="4" w:space="0" w:color="FFFFFF"/>
            </w:tcBorders>
            <w:shd w:val="clear" w:color="000000" w:fill="4BACC6"/>
            <w:noWrap/>
            <w:vAlign w:val="center"/>
          </w:tcPr>
          <w:p>
            <w:pPr>
              <w:widowControl/>
              <w:jc w:val="center"/>
              <w:rPr>
                <w:rFonts w:ascii="宋体" w:cs="宋体"/>
                <w:b/>
                <w:bCs/>
                <w:color w:val="FFFFFF"/>
                <w:kern w:val="0"/>
                <w:sz w:val="24"/>
              </w:rPr>
            </w:pPr>
            <w:r>
              <w:rPr>
                <w:rFonts w:ascii="宋体" w:cs="宋体" w:hint="eastAsia"/>
                <w:b/>
                <w:bCs/>
                <w:color w:val="FFFFFF"/>
                <w:kern w:val="0"/>
                <w:sz w:val="24"/>
              </w:rPr>
              <w:t>2019-2020学年</w:t>
            </w:r>
          </w:p>
        </w:tc>
        <w:tc>
          <w:tcPr>
            <w:tcW w:w="1906" w:type="dxa"/>
            <w:tcBorders>
              <w:top w:val="single" w:sz="8" w:space="0" w:color="4BACC6"/>
              <w:left w:val="single" w:sz="4" w:space="0" w:color="FFFFFF"/>
              <w:bottom w:val="single" w:sz="18" w:space="0" w:color="FFFFFF"/>
              <w:right w:val="single" w:sz="8" w:space="0" w:color="4BACC6"/>
            </w:tcBorders>
            <w:shd w:val="clear" w:color="000000" w:fill="4BACC6"/>
            <w:noWrap/>
            <w:vAlign w:val="center"/>
          </w:tcPr>
          <w:p>
            <w:pPr>
              <w:widowControl/>
              <w:jc w:val="center"/>
              <w:rPr>
                <w:rFonts w:ascii="宋体" w:cs="宋体"/>
                <w:b/>
                <w:bCs/>
                <w:color w:val="FFFFFF"/>
                <w:kern w:val="0"/>
                <w:sz w:val="24"/>
              </w:rPr>
            </w:pPr>
            <w:r>
              <w:rPr>
                <w:rFonts w:ascii="宋体" w:cs="宋体" w:hint="eastAsia"/>
                <w:b/>
                <w:bCs/>
                <w:color w:val="FFFFFF"/>
                <w:kern w:val="0"/>
                <w:sz w:val="24"/>
              </w:rPr>
              <w:t>2020-2021学年</w:t>
            </w:r>
          </w:p>
        </w:tc>
      </w:tr>
      <w:tr>
        <w:trPr>
          <w:trHeight w:val="351"/>
        </w:trPr>
        <w:tc>
          <w:tcPr>
            <w:tcW w:w="2718" w:type="dxa"/>
            <w:tcBorders>
              <w:top w:val="single" w:sz="18" w:space="0" w:color="FFFFFF"/>
              <w:left w:val="single" w:sz="8" w:space="0" w:color="4BACC6"/>
              <w:bottom w:val="single" w:sz="8" w:space="0" w:color="4BACC6"/>
              <w:right w:val="single" w:sz="8" w:space="0" w:color="4BACC6"/>
            </w:tcBorders>
            <w:shd w:val="clear" w:color="000000" w:fill="B7DDE8"/>
            <w:noWrap/>
            <w:vAlign w:val="center"/>
          </w:tcPr>
          <w:p>
            <w:pPr>
              <w:widowControl/>
              <w:jc w:val="left"/>
              <w:rPr>
                <w:rFonts w:ascii="宋体" w:cs="宋体"/>
                <w:color w:val="000000"/>
                <w:kern w:val="0"/>
                <w:sz w:val="24"/>
              </w:rPr>
            </w:pPr>
            <w:r>
              <w:rPr>
                <w:rFonts w:ascii="宋体" w:cs="宋体" w:hint="eastAsia"/>
                <w:color w:val="000000"/>
                <w:kern w:val="0"/>
                <w:sz w:val="24"/>
              </w:rPr>
              <w:t>教学仪器设备值</w:t>
            </w:r>
          </w:p>
        </w:tc>
        <w:tc>
          <w:tcPr>
            <w:tcW w:w="1245" w:type="dxa"/>
            <w:tcBorders>
              <w:top w:val="single" w:sz="18" w:space="0" w:color="FFFFFF"/>
              <w:left w:val="single" w:sz="8" w:space="0" w:color="4BACC6"/>
              <w:bottom w:val="single" w:sz="8" w:space="0" w:color="4BACC6"/>
              <w:right w:val="single" w:sz="8" w:space="0" w:color="4BACC6"/>
            </w:tcBorders>
            <w:shd w:val="clear" w:color="000000" w:fill="B7DDE8"/>
            <w:noWrap/>
            <w:vAlign w:val="center"/>
          </w:tcPr>
          <w:p>
            <w:pPr>
              <w:widowControl/>
              <w:jc w:val="center"/>
              <w:rPr>
                <w:rFonts w:ascii="宋体" w:cs="宋体"/>
                <w:color w:val="000000"/>
                <w:kern w:val="0"/>
                <w:sz w:val="24"/>
              </w:rPr>
            </w:pPr>
            <w:r>
              <w:rPr>
                <w:rFonts w:ascii="宋体" w:cs="宋体" w:hint="eastAsia"/>
                <w:color w:val="000000"/>
                <w:kern w:val="0"/>
                <w:sz w:val="24"/>
              </w:rPr>
              <w:t>万元</w:t>
            </w:r>
          </w:p>
        </w:tc>
        <w:tc>
          <w:tcPr>
            <w:tcW w:w="1950" w:type="dxa"/>
            <w:tcBorders>
              <w:top w:val="single" w:sz="18" w:space="0" w:color="FFFFFF"/>
              <w:left w:val="single" w:sz="8" w:space="0" w:color="4BACC6"/>
              <w:bottom w:val="single" w:sz="8" w:space="0" w:color="4BACC6"/>
              <w:right w:val="single" w:sz="8" w:space="0" w:color="4BACC6"/>
            </w:tcBorders>
            <w:shd w:val="clear" w:color="000000" w:fill="B7DDE8"/>
            <w:noWrap/>
            <w:vAlign w:val="center"/>
          </w:tcPr>
          <w:p>
            <w:pPr>
              <w:widowControl/>
              <w:jc w:val="left"/>
              <w:rPr>
                <w:rFonts w:ascii="宋体" w:cs="宋体"/>
                <w:color w:val="000000"/>
                <w:kern w:val="0"/>
                <w:sz w:val="24"/>
              </w:rPr>
            </w:pPr>
            <w:r>
              <w:rPr>
                <w:rFonts w:ascii="宋体" w:cs="宋体" w:hint="eastAsia"/>
                <w:color w:val="000000"/>
                <w:kern w:val="0"/>
                <w:sz w:val="24"/>
              </w:rPr>
              <w:t>51349.1</w:t>
            </w:r>
          </w:p>
        </w:tc>
        <w:tc>
          <w:tcPr>
            <w:tcW w:w="1906" w:type="dxa"/>
            <w:tcBorders>
              <w:top w:val="single" w:sz="18" w:space="0" w:color="FFFFFF"/>
              <w:left w:val="single" w:sz="8" w:space="0" w:color="4BACC6"/>
              <w:bottom w:val="single" w:sz="8" w:space="0" w:color="4BACC6"/>
              <w:right w:val="single" w:sz="8" w:space="0" w:color="4BACC6"/>
            </w:tcBorders>
            <w:shd w:val="clear" w:color="000000" w:fill="B7DDE8"/>
            <w:noWrap/>
            <w:vAlign w:val="center"/>
          </w:tcPr>
          <w:p>
            <w:pPr>
              <w:widowControl/>
              <w:jc w:val="left"/>
              <w:rPr>
                <w:rFonts w:ascii="宋体" w:cs="宋体"/>
                <w:color w:val="000000"/>
                <w:kern w:val="0"/>
                <w:sz w:val="24"/>
              </w:rPr>
            </w:pPr>
            <w:r>
              <w:rPr>
                <w:rFonts w:ascii="宋体" w:cs="宋体" w:hint="eastAsia"/>
                <w:color w:val="000000"/>
                <w:kern w:val="0"/>
                <w:sz w:val="24"/>
              </w:rPr>
              <w:t>51909.34</w:t>
            </w:r>
          </w:p>
        </w:tc>
      </w:tr>
      <w:tr>
        <w:trPr>
          <w:trHeight w:val="351"/>
        </w:trPr>
        <w:tc>
          <w:tcPr>
            <w:tcW w:w="2718" w:type="dxa"/>
            <w:tcBorders>
              <w:top w:val="single" w:sz="8" w:space="0" w:color="4BACC6"/>
              <w:left w:val="single" w:sz="8" w:space="0" w:color="4BACC6"/>
              <w:bottom w:val="single" w:sz="8" w:space="0" w:color="4BACC6"/>
              <w:right w:val="single" w:sz="8" w:space="0" w:color="4BACC6"/>
            </w:tcBorders>
            <w:shd w:val="clear" w:color="000000" w:fill="FFFFFF"/>
            <w:noWrap/>
            <w:vAlign w:val="center"/>
          </w:tcPr>
          <w:p>
            <w:pPr>
              <w:widowControl/>
              <w:jc w:val="left"/>
              <w:rPr>
                <w:rFonts w:ascii="宋体" w:cs="宋体"/>
                <w:color w:val="000000"/>
                <w:kern w:val="0"/>
                <w:sz w:val="24"/>
              </w:rPr>
            </w:pPr>
            <w:r>
              <w:rPr>
                <w:rFonts w:ascii="宋体" w:cs="宋体" w:hint="eastAsia"/>
                <w:color w:val="000000"/>
                <w:kern w:val="0"/>
                <w:sz w:val="24"/>
              </w:rPr>
              <w:t>生均设备值</w:t>
            </w:r>
          </w:p>
        </w:tc>
        <w:tc>
          <w:tcPr>
            <w:tcW w:w="1245" w:type="dxa"/>
            <w:tcBorders>
              <w:top w:val="single" w:sz="8" w:space="0" w:color="4BACC6"/>
              <w:left w:val="single" w:sz="8" w:space="0" w:color="4BACC6"/>
              <w:bottom w:val="single" w:sz="8" w:space="0" w:color="4BACC6"/>
              <w:right w:val="single" w:sz="8" w:space="0" w:color="4BACC6"/>
            </w:tcBorders>
            <w:shd w:val="clear" w:color="000000" w:fill="FFFFFF"/>
            <w:noWrap/>
            <w:vAlign w:val="center"/>
          </w:tcPr>
          <w:p>
            <w:pPr>
              <w:widowControl/>
              <w:jc w:val="center"/>
              <w:rPr>
                <w:rFonts w:ascii="宋体" w:cs="宋体"/>
                <w:color w:val="000000"/>
                <w:kern w:val="0"/>
                <w:sz w:val="24"/>
              </w:rPr>
            </w:pPr>
            <w:r>
              <w:rPr>
                <w:rFonts w:ascii="宋体" w:cs="宋体" w:hint="eastAsia"/>
                <w:color w:val="000000"/>
                <w:kern w:val="0"/>
                <w:sz w:val="24"/>
              </w:rPr>
              <w:t>元</w:t>
            </w:r>
          </w:p>
        </w:tc>
        <w:tc>
          <w:tcPr>
            <w:tcW w:w="1950" w:type="dxa"/>
            <w:tcBorders>
              <w:top w:val="single" w:sz="8" w:space="0" w:color="4BACC6"/>
              <w:left w:val="single" w:sz="8" w:space="0" w:color="4BACC6"/>
              <w:bottom w:val="single" w:sz="8" w:space="0" w:color="4BACC6"/>
              <w:right w:val="single" w:sz="8" w:space="0" w:color="4BACC6"/>
            </w:tcBorders>
            <w:shd w:val="clear" w:color="000000" w:fill="FFFFFF"/>
            <w:noWrap/>
            <w:vAlign w:val="center"/>
          </w:tcPr>
          <w:p>
            <w:pPr>
              <w:widowControl/>
              <w:jc w:val="left"/>
              <w:rPr>
                <w:rFonts w:ascii="宋体" w:cs="宋体"/>
                <w:color w:val="000000"/>
                <w:kern w:val="0"/>
                <w:sz w:val="24"/>
              </w:rPr>
            </w:pPr>
            <w:r>
              <w:rPr>
                <w:rFonts w:ascii="宋体" w:cs="宋体" w:hint="eastAsia"/>
                <w:color w:val="000000"/>
                <w:kern w:val="0"/>
                <w:sz w:val="24"/>
              </w:rPr>
              <w:t>13079</w:t>
            </w:r>
          </w:p>
        </w:tc>
        <w:tc>
          <w:tcPr>
            <w:tcW w:w="1906" w:type="dxa"/>
            <w:tcBorders>
              <w:top w:val="single" w:sz="8" w:space="0" w:color="4BACC6"/>
              <w:left w:val="single" w:sz="8" w:space="0" w:color="4BACC6"/>
              <w:bottom w:val="single" w:sz="8" w:space="0" w:color="4BACC6"/>
              <w:right w:val="single" w:sz="8" w:space="0" w:color="4BACC6"/>
            </w:tcBorders>
            <w:shd w:val="clear" w:color="000000" w:fill="FFFFFF"/>
            <w:noWrap/>
            <w:vAlign w:val="center"/>
          </w:tcPr>
          <w:p>
            <w:pPr>
              <w:widowControl/>
              <w:jc w:val="left"/>
              <w:rPr>
                <w:rFonts w:ascii="宋体" w:cs="宋体"/>
                <w:color w:val="000000"/>
                <w:kern w:val="0"/>
                <w:sz w:val="24"/>
              </w:rPr>
            </w:pPr>
            <w:r>
              <w:rPr>
                <w:rFonts w:ascii="宋体" w:cs="宋体" w:hint="eastAsia"/>
                <w:color w:val="000000"/>
                <w:kern w:val="0"/>
                <w:sz w:val="24"/>
              </w:rPr>
              <w:t>13482</w:t>
            </w:r>
          </w:p>
        </w:tc>
      </w:tr>
      <w:tr>
        <w:trPr>
          <w:trHeight w:val="419"/>
        </w:trPr>
        <w:tc>
          <w:tcPr>
            <w:tcW w:w="2718" w:type="dxa"/>
            <w:tcBorders>
              <w:top w:val="single" w:sz="8" w:space="0" w:color="4BACC6"/>
              <w:left w:val="single" w:sz="8" w:space="0" w:color="4BACC6"/>
              <w:bottom w:val="single" w:sz="8" w:space="0" w:color="4BACC6"/>
              <w:right w:val="single" w:sz="8" w:space="0" w:color="4BACC6"/>
            </w:tcBorders>
            <w:shd w:val="clear" w:color="000000" w:fill="B7DDE8"/>
            <w:noWrap/>
            <w:vAlign w:val="center"/>
          </w:tcPr>
          <w:p>
            <w:pPr>
              <w:widowControl/>
              <w:jc w:val="left"/>
              <w:rPr>
                <w:rFonts w:ascii="宋体" w:cs="宋体"/>
                <w:color w:val="000000"/>
                <w:kern w:val="0"/>
                <w:sz w:val="24"/>
              </w:rPr>
            </w:pPr>
            <w:r>
              <w:rPr>
                <w:rFonts w:ascii="宋体" w:cs="宋体" w:hint="eastAsia"/>
                <w:color w:val="000000"/>
                <w:kern w:val="0"/>
                <w:sz w:val="24"/>
              </w:rPr>
              <w:t>纸质图书</w:t>
            </w:r>
          </w:p>
        </w:tc>
        <w:tc>
          <w:tcPr>
            <w:tcW w:w="1245" w:type="dxa"/>
            <w:tcBorders>
              <w:top w:val="single" w:sz="8" w:space="0" w:color="4BACC6"/>
              <w:left w:val="single" w:sz="8" w:space="0" w:color="4BACC6"/>
              <w:bottom w:val="single" w:sz="8" w:space="0" w:color="4BACC6"/>
              <w:right w:val="single" w:sz="8" w:space="0" w:color="4BACC6"/>
            </w:tcBorders>
            <w:shd w:val="clear" w:color="000000" w:fill="B7DDE8"/>
            <w:noWrap/>
            <w:vAlign w:val="center"/>
          </w:tcPr>
          <w:p>
            <w:pPr>
              <w:widowControl/>
              <w:jc w:val="center"/>
              <w:rPr>
                <w:rFonts w:ascii="宋体" w:cs="宋体"/>
                <w:color w:val="000000"/>
                <w:kern w:val="0"/>
                <w:sz w:val="24"/>
              </w:rPr>
            </w:pPr>
            <w:r>
              <w:rPr>
                <w:rFonts w:ascii="宋体" w:cs="宋体" w:hint="eastAsia"/>
                <w:color w:val="000000"/>
                <w:kern w:val="0"/>
                <w:sz w:val="24"/>
              </w:rPr>
              <w:t>万册</w:t>
            </w:r>
          </w:p>
        </w:tc>
        <w:tc>
          <w:tcPr>
            <w:tcW w:w="1950" w:type="dxa"/>
            <w:tcBorders>
              <w:top w:val="single" w:sz="8" w:space="0" w:color="4BACC6"/>
              <w:left w:val="single" w:sz="8" w:space="0" w:color="4BACC6"/>
              <w:bottom w:val="single" w:sz="8" w:space="0" w:color="4BACC6"/>
              <w:right w:val="single" w:sz="8" w:space="0" w:color="4BACC6"/>
            </w:tcBorders>
            <w:shd w:val="clear" w:color="000000" w:fill="B7DDE8"/>
            <w:noWrap/>
            <w:vAlign w:val="center"/>
          </w:tcPr>
          <w:p>
            <w:pPr>
              <w:widowControl/>
              <w:jc w:val="left"/>
              <w:rPr>
                <w:rFonts w:ascii="宋体" w:cs="宋体"/>
                <w:color w:val="000000"/>
                <w:kern w:val="0"/>
                <w:sz w:val="24"/>
              </w:rPr>
            </w:pPr>
            <w:r>
              <w:rPr>
                <w:rFonts w:ascii="宋体" w:cs="宋体" w:hint="eastAsia"/>
                <w:color w:val="000000"/>
                <w:kern w:val="0"/>
                <w:sz w:val="24"/>
              </w:rPr>
              <w:t>130.6</w:t>
            </w:r>
          </w:p>
        </w:tc>
        <w:tc>
          <w:tcPr>
            <w:tcW w:w="1906" w:type="dxa"/>
            <w:tcBorders>
              <w:top w:val="single" w:sz="8" w:space="0" w:color="4BACC6"/>
              <w:left w:val="single" w:sz="8" w:space="0" w:color="4BACC6"/>
              <w:bottom w:val="single" w:sz="8" w:space="0" w:color="4BACC6"/>
              <w:right w:val="single" w:sz="8" w:space="0" w:color="4BACC6"/>
            </w:tcBorders>
            <w:shd w:val="clear" w:color="000000" w:fill="B7DDE8"/>
            <w:noWrap/>
            <w:vAlign w:val="center"/>
          </w:tcPr>
          <w:p>
            <w:pPr>
              <w:widowControl/>
              <w:jc w:val="left"/>
              <w:rPr>
                <w:rFonts w:ascii="宋体" w:cs="宋体"/>
                <w:color w:val="000000"/>
                <w:kern w:val="0"/>
                <w:sz w:val="24"/>
              </w:rPr>
            </w:pPr>
            <w:r>
              <w:rPr>
                <w:rFonts w:ascii="宋体" w:cs="宋体" w:hint="eastAsia"/>
                <w:color w:val="000000"/>
                <w:kern w:val="0"/>
                <w:sz w:val="24"/>
              </w:rPr>
              <w:t>108.9</w:t>
            </w:r>
          </w:p>
        </w:tc>
      </w:tr>
      <w:tr>
        <w:trPr>
          <w:trHeight w:val="456"/>
        </w:trPr>
        <w:tc>
          <w:tcPr>
            <w:tcW w:w="2718" w:type="dxa"/>
            <w:tcBorders>
              <w:top w:val="single" w:sz="8" w:space="0" w:color="4BACC6"/>
              <w:left w:val="single" w:sz="8" w:space="0" w:color="4BACC6"/>
              <w:bottom w:val="single" w:sz="8" w:space="0" w:color="4BACC6"/>
              <w:right w:val="single" w:sz="8" w:space="0" w:color="4BACC6"/>
            </w:tcBorders>
            <w:shd w:val="clear" w:color="000000" w:fill="FFFFFF"/>
            <w:noWrap/>
            <w:vAlign w:val="center"/>
          </w:tcPr>
          <w:p>
            <w:pPr>
              <w:widowControl/>
              <w:jc w:val="left"/>
              <w:rPr>
                <w:rFonts w:ascii="宋体" w:cs="宋体"/>
                <w:color w:val="000000"/>
                <w:kern w:val="0"/>
                <w:sz w:val="24"/>
              </w:rPr>
            </w:pPr>
            <w:r>
              <w:rPr>
                <w:rFonts w:ascii="宋体" w:cs="宋体" w:hint="eastAsia"/>
                <w:color w:val="000000"/>
                <w:kern w:val="0"/>
                <w:sz w:val="24"/>
              </w:rPr>
              <w:t>数字图书</w:t>
            </w:r>
          </w:p>
        </w:tc>
        <w:tc>
          <w:tcPr>
            <w:tcW w:w="1245" w:type="dxa"/>
            <w:tcBorders>
              <w:top w:val="single" w:sz="8" w:space="0" w:color="4BACC6"/>
              <w:left w:val="single" w:sz="8" w:space="0" w:color="4BACC6"/>
              <w:bottom w:val="single" w:sz="8" w:space="0" w:color="4BACC6"/>
              <w:right w:val="single" w:sz="8" w:space="0" w:color="4BACC6"/>
            </w:tcBorders>
            <w:shd w:val="clear" w:color="000000" w:fill="FFFFFF"/>
            <w:noWrap/>
            <w:vAlign w:val="center"/>
          </w:tcPr>
          <w:p>
            <w:pPr>
              <w:widowControl/>
              <w:jc w:val="center"/>
              <w:rPr>
                <w:rFonts w:ascii="宋体" w:cs="宋体"/>
                <w:color w:val="000000"/>
                <w:kern w:val="0"/>
                <w:sz w:val="24"/>
              </w:rPr>
            </w:pPr>
            <w:r>
              <w:rPr>
                <w:rFonts w:ascii="宋体" w:cs="宋体" w:hint="eastAsia"/>
                <w:color w:val="000000"/>
                <w:kern w:val="0"/>
                <w:sz w:val="24"/>
              </w:rPr>
              <w:t>万册</w:t>
            </w:r>
          </w:p>
        </w:tc>
        <w:tc>
          <w:tcPr>
            <w:tcW w:w="1950" w:type="dxa"/>
            <w:tcBorders>
              <w:top w:val="single" w:sz="8" w:space="0" w:color="4BACC6"/>
              <w:left w:val="single" w:sz="8" w:space="0" w:color="4BACC6"/>
              <w:bottom w:val="single" w:sz="8" w:space="0" w:color="4BACC6"/>
              <w:right w:val="single" w:sz="8" w:space="0" w:color="4BACC6"/>
            </w:tcBorders>
            <w:shd w:val="clear" w:color="000000" w:fill="FFFFFF"/>
            <w:noWrap/>
            <w:vAlign w:val="center"/>
          </w:tcPr>
          <w:p>
            <w:pPr>
              <w:widowControl/>
              <w:jc w:val="left"/>
              <w:rPr>
                <w:rFonts w:ascii="宋体" w:cs="宋体"/>
                <w:color w:val="000000"/>
                <w:kern w:val="0"/>
                <w:sz w:val="24"/>
              </w:rPr>
            </w:pPr>
            <w:r>
              <w:rPr>
                <w:rFonts w:ascii="宋体" w:cs="宋体" w:hint="eastAsia"/>
                <w:color w:val="000000"/>
                <w:kern w:val="0"/>
                <w:sz w:val="24"/>
              </w:rPr>
              <w:t>418.3</w:t>
            </w:r>
          </w:p>
        </w:tc>
        <w:tc>
          <w:tcPr>
            <w:tcW w:w="1906" w:type="dxa"/>
            <w:tcBorders>
              <w:top w:val="single" w:sz="8" w:space="0" w:color="4BACC6"/>
              <w:left w:val="single" w:sz="8" w:space="0" w:color="4BACC6"/>
              <w:bottom w:val="single" w:sz="8" w:space="0" w:color="4BACC6"/>
              <w:right w:val="single" w:sz="8" w:space="0" w:color="4BACC6"/>
            </w:tcBorders>
            <w:shd w:val="clear" w:color="000000" w:fill="FFFFFF"/>
            <w:noWrap/>
            <w:vAlign w:val="center"/>
          </w:tcPr>
          <w:p>
            <w:pPr>
              <w:widowControl/>
              <w:jc w:val="left"/>
              <w:rPr>
                <w:rFonts w:ascii="宋体" w:cs="宋体"/>
                <w:color w:val="000000"/>
                <w:kern w:val="0"/>
                <w:sz w:val="24"/>
              </w:rPr>
            </w:pPr>
            <w:r>
              <w:rPr>
                <w:rFonts w:ascii="宋体" w:cs="宋体" w:hint="eastAsia"/>
                <w:color w:val="000000"/>
                <w:kern w:val="0"/>
                <w:sz w:val="24"/>
              </w:rPr>
              <w:t>495.6</w:t>
            </w:r>
          </w:p>
        </w:tc>
      </w:tr>
      <w:tr>
        <w:trPr>
          <w:trHeight w:val="456"/>
        </w:trPr>
        <w:tc>
          <w:tcPr>
            <w:tcW w:w="2718" w:type="dxa"/>
            <w:tcBorders>
              <w:top w:val="single" w:sz="8" w:space="0" w:color="4BACC6"/>
              <w:left w:val="single" w:sz="8" w:space="0" w:color="4BACC6"/>
              <w:bottom w:val="single" w:sz="8" w:space="0" w:color="4BACC6"/>
              <w:right w:val="single" w:sz="8" w:space="0" w:color="4BACC6"/>
            </w:tcBorders>
            <w:shd w:val="clear" w:color="000000" w:fill="B7DDE8"/>
            <w:noWrap/>
            <w:vAlign w:val="center"/>
          </w:tcPr>
          <w:p>
            <w:pPr>
              <w:widowControl/>
              <w:jc w:val="left"/>
              <w:rPr>
                <w:rFonts w:ascii="宋体" w:cs="宋体"/>
                <w:color w:val="000000"/>
                <w:kern w:val="0"/>
                <w:sz w:val="24"/>
              </w:rPr>
            </w:pPr>
            <w:r>
              <w:rPr>
                <w:rFonts w:ascii="宋体" w:cs="宋体" w:hint="eastAsia"/>
                <w:color w:val="000000"/>
                <w:kern w:val="0"/>
                <w:sz w:val="24"/>
              </w:rPr>
              <w:t>计算机数</w:t>
            </w:r>
          </w:p>
        </w:tc>
        <w:tc>
          <w:tcPr>
            <w:tcW w:w="1245" w:type="dxa"/>
            <w:tcBorders>
              <w:top w:val="single" w:sz="8" w:space="0" w:color="4BACC6"/>
              <w:left w:val="single" w:sz="8" w:space="0" w:color="4BACC6"/>
              <w:bottom w:val="single" w:sz="8" w:space="0" w:color="4BACC6"/>
              <w:right w:val="single" w:sz="8" w:space="0" w:color="4BACC6"/>
            </w:tcBorders>
            <w:shd w:val="clear" w:color="000000" w:fill="B7DDE8"/>
            <w:noWrap/>
            <w:vAlign w:val="center"/>
          </w:tcPr>
          <w:p>
            <w:pPr>
              <w:widowControl/>
              <w:jc w:val="center"/>
              <w:rPr>
                <w:rFonts w:ascii="宋体" w:cs="宋体"/>
                <w:color w:val="000000"/>
                <w:kern w:val="0"/>
                <w:sz w:val="24"/>
              </w:rPr>
            </w:pPr>
            <w:r>
              <w:rPr>
                <w:rFonts w:ascii="宋体" w:cs="宋体" w:hint="eastAsia"/>
                <w:color w:val="000000"/>
                <w:kern w:val="0"/>
                <w:sz w:val="24"/>
              </w:rPr>
              <w:t>台</w:t>
            </w:r>
          </w:p>
        </w:tc>
        <w:tc>
          <w:tcPr>
            <w:tcW w:w="1950" w:type="dxa"/>
            <w:tcBorders>
              <w:top w:val="single" w:sz="8" w:space="0" w:color="4BACC6"/>
              <w:left w:val="single" w:sz="8" w:space="0" w:color="4BACC6"/>
              <w:bottom w:val="single" w:sz="8" w:space="0" w:color="4BACC6"/>
              <w:right w:val="single" w:sz="8" w:space="0" w:color="4BACC6"/>
            </w:tcBorders>
            <w:shd w:val="clear" w:color="000000" w:fill="B7DDE8"/>
            <w:noWrap/>
            <w:vAlign w:val="center"/>
          </w:tcPr>
          <w:p>
            <w:pPr>
              <w:widowControl/>
              <w:jc w:val="left"/>
              <w:rPr>
                <w:rFonts w:ascii="宋体" w:cs="宋体"/>
                <w:color w:val="000000"/>
                <w:kern w:val="0"/>
                <w:sz w:val="24"/>
              </w:rPr>
            </w:pPr>
            <w:r>
              <w:rPr>
                <w:rFonts w:ascii="宋体" w:cs="宋体" w:hint="eastAsia"/>
                <w:color w:val="000000"/>
                <w:kern w:val="0"/>
                <w:sz w:val="24"/>
              </w:rPr>
              <w:t>12826</w:t>
            </w:r>
          </w:p>
        </w:tc>
        <w:tc>
          <w:tcPr>
            <w:tcW w:w="1906" w:type="dxa"/>
            <w:tcBorders>
              <w:top w:val="single" w:sz="8" w:space="0" w:color="4BACC6"/>
              <w:left w:val="single" w:sz="8" w:space="0" w:color="4BACC6"/>
              <w:bottom w:val="single" w:sz="8" w:space="0" w:color="4BACC6"/>
              <w:right w:val="single" w:sz="8" w:space="0" w:color="4BACC6"/>
            </w:tcBorders>
            <w:shd w:val="clear" w:color="000000" w:fill="B7DDE8"/>
            <w:noWrap/>
            <w:vAlign w:val="center"/>
          </w:tcPr>
          <w:p>
            <w:pPr>
              <w:widowControl/>
              <w:jc w:val="left"/>
              <w:rPr>
                <w:rFonts w:ascii="宋体" w:cs="宋体"/>
                <w:color w:val="000000"/>
                <w:kern w:val="0"/>
                <w:sz w:val="24"/>
              </w:rPr>
            </w:pPr>
            <w:r>
              <w:rPr>
                <w:rFonts w:ascii="宋体" w:cs="宋体" w:hint="eastAsia"/>
                <w:color w:val="000000"/>
                <w:kern w:val="0"/>
                <w:sz w:val="24"/>
              </w:rPr>
              <w:t>19567</w:t>
            </w:r>
          </w:p>
        </w:tc>
      </w:tr>
      <w:tr>
        <w:trPr>
          <w:trHeight w:val="460"/>
        </w:trPr>
        <w:tc>
          <w:tcPr>
            <w:tcW w:w="2718" w:type="dxa"/>
            <w:tcBorders>
              <w:top w:val="single" w:sz="8" w:space="0" w:color="4BACC6"/>
              <w:left w:val="single" w:sz="8" w:space="0" w:color="4BACC6"/>
              <w:bottom w:val="single" w:sz="8" w:space="0" w:color="4BACC6"/>
              <w:right w:val="single" w:sz="8" w:space="0" w:color="4BACC6"/>
            </w:tcBorders>
            <w:shd w:val="clear" w:color="000000" w:fill="FFFFFF"/>
            <w:noWrap/>
            <w:vAlign w:val="center"/>
          </w:tcPr>
          <w:p>
            <w:pPr>
              <w:widowControl/>
              <w:jc w:val="left"/>
              <w:rPr>
                <w:rFonts w:ascii="宋体" w:cs="宋体"/>
                <w:color w:val="000000"/>
                <w:kern w:val="0"/>
                <w:sz w:val="24"/>
              </w:rPr>
            </w:pPr>
            <w:r>
              <w:rPr>
                <w:rFonts w:ascii="宋体" w:cs="宋体" w:hint="eastAsia"/>
                <w:color w:val="000000"/>
                <w:kern w:val="0"/>
                <w:sz w:val="24"/>
              </w:rPr>
              <w:t>多媒体教室</w:t>
            </w:r>
          </w:p>
        </w:tc>
        <w:tc>
          <w:tcPr>
            <w:tcW w:w="1245" w:type="dxa"/>
            <w:tcBorders>
              <w:top w:val="single" w:sz="8" w:space="0" w:color="4BACC6"/>
              <w:left w:val="single" w:sz="8" w:space="0" w:color="4BACC6"/>
              <w:bottom w:val="single" w:sz="8" w:space="0" w:color="4BACC6"/>
              <w:right w:val="single" w:sz="8" w:space="0" w:color="4BACC6"/>
            </w:tcBorders>
            <w:shd w:val="clear" w:color="000000" w:fill="FFFFFF"/>
            <w:noWrap/>
            <w:vAlign w:val="center"/>
          </w:tcPr>
          <w:p>
            <w:pPr>
              <w:widowControl/>
              <w:jc w:val="center"/>
              <w:rPr>
                <w:rFonts w:ascii="宋体" w:cs="宋体"/>
                <w:color w:val="000000"/>
                <w:kern w:val="0"/>
                <w:sz w:val="24"/>
              </w:rPr>
            </w:pPr>
            <w:r>
              <w:rPr>
                <w:rFonts w:ascii="宋体" w:cs="宋体" w:hint="eastAsia"/>
                <w:color w:val="000000"/>
                <w:kern w:val="0"/>
                <w:sz w:val="24"/>
              </w:rPr>
              <w:t>间</w:t>
            </w:r>
          </w:p>
        </w:tc>
        <w:tc>
          <w:tcPr>
            <w:tcW w:w="1950" w:type="dxa"/>
            <w:tcBorders>
              <w:top w:val="single" w:sz="8" w:space="0" w:color="4BACC6"/>
              <w:left w:val="single" w:sz="8" w:space="0" w:color="4BACC6"/>
              <w:bottom w:val="single" w:sz="8" w:space="0" w:color="4BACC6"/>
              <w:right w:val="single" w:sz="8" w:space="0" w:color="4BACC6"/>
            </w:tcBorders>
            <w:shd w:val="clear" w:color="000000" w:fill="FFFFFF"/>
            <w:noWrap/>
            <w:vAlign w:val="center"/>
          </w:tcPr>
          <w:p>
            <w:pPr>
              <w:widowControl/>
              <w:rPr>
                <w:rFonts w:ascii="宋体" w:cs="宋体"/>
                <w:color w:val="000000"/>
                <w:kern w:val="0"/>
                <w:sz w:val="24"/>
              </w:rPr>
            </w:pPr>
            <w:r>
              <w:rPr>
                <w:rFonts w:ascii="宋体" w:cs="宋体" w:hint="eastAsia"/>
                <w:color w:val="000000"/>
                <w:kern w:val="0"/>
                <w:sz w:val="24"/>
              </w:rPr>
              <w:t>1106</w:t>
            </w:r>
          </w:p>
        </w:tc>
        <w:tc>
          <w:tcPr>
            <w:tcW w:w="1906" w:type="dxa"/>
            <w:tcBorders>
              <w:top w:val="single" w:sz="8" w:space="0" w:color="4BACC6"/>
              <w:left w:val="single" w:sz="8" w:space="0" w:color="4BACC6"/>
              <w:bottom w:val="single" w:sz="8" w:space="0" w:color="4BACC6"/>
              <w:right w:val="single" w:sz="8" w:space="0" w:color="4BACC6"/>
            </w:tcBorders>
            <w:shd w:val="clear" w:color="000000" w:fill="FFFFFF"/>
            <w:noWrap/>
            <w:vAlign w:val="center"/>
          </w:tcPr>
          <w:p>
            <w:pPr>
              <w:widowControl/>
              <w:rPr>
                <w:rFonts w:ascii="宋体" w:cs="宋体"/>
                <w:color w:val="000000"/>
                <w:kern w:val="0"/>
                <w:sz w:val="24"/>
              </w:rPr>
            </w:pPr>
            <w:r>
              <w:rPr>
                <w:rFonts w:ascii="宋体" w:cs="宋体" w:hint="eastAsia"/>
                <w:color w:val="000000"/>
                <w:kern w:val="0"/>
                <w:sz w:val="24"/>
              </w:rPr>
              <w:t>1095</w:t>
            </w:r>
          </w:p>
        </w:tc>
      </w:tr>
    </w:tbl>
    <w:p>
      <w:pPr>
        <w:pStyle w:val="16"/>
        <w:spacing w:line="440" w:lineRule="exact"/>
        <w:jc w:val="both"/>
        <w:rPr>
          <w:rFonts w:ascii="宋体" w:cs="宋体"/>
          <w:bCs/>
          <w:sz w:val="28"/>
          <w:szCs w:val="28"/>
        </w:rPr>
      </w:pPr>
    </w:p>
    <w:p>
      <w:pPr>
        <w:pStyle w:val="16"/>
        <w:spacing w:line="440" w:lineRule="exact"/>
        <w:jc w:val="both"/>
        <w:rPr>
          <w:rFonts w:ascii="宋体" w:cs="宋体"/>
          <w:bCs/>
          <w:sz w:val="28"/>
          <w:szCs w:val="28"/>
        </w:rPr>
      </w:pPr>
      <w:r>
        <w:rPr>
          <w:rFonts w:ascii="宋体" w:cs="宋体" w:hint="eastAsia"/>
          <w:color w:val="000000"/>
          <w:kern w:val="0"/>
          <w:sz w:val="24"/>
        </w:rPr>
        <w:drawing>
          <wp:anchor distT="0" distB="0" distL="114300" distR="114300" simplePos="0" relativeHeight="73" behindDoc="0" locked="0" layoutInCell="1" hidden="0" allowOverlap="1">
            <wp:simplePos x="0" y="0"/>
            <wp:positionH relativeFrom="column">
              <wp:posOffset>737985</wp:posOffset>
            </wp:positionH>
            <wp:positionV relativeFrom="paragraph">
              <wp:posOffset>51529</wp:posOffset>
            </wp:positionV>
            <wp:extent cx="4400548" cy="1828800"/>
            <wp:effectExtent l="0" t="0" r="0" b="0"/>
            <wp:wrapTopAndBottom/>
            <wp:docPr id="6" name="图表 2"/>
            <wp:cNvGraphicFramePr>
              <a:graphicFrameLocks noChangeAspect="0"/>
            </wp:cNvGraphicFramePr>
            <a:graphic>
              <a:graphicData uri="http://schemas.openxmlformats.org/drawingml/2006/chart">
                <c:chart xmlns:c="http://schemas.openxmlformats.org/drawingml/2006/chart" r:id="rId12"/>
              </a:graphicData>
            </a:graphic>
          </wp:anchor>
        </w:drawing>
      </w:r>
      <w:r>
        <w:rPr>
          <w:rFonts w:ascii="宋体" w:cs="宋体" w:hint="eastAsia"/>
          <w:bCs/>
          <w:sz w:val="28"/>
          <w:szCs w:val="28"/>
        </w:rPr>
        <w:t xml:space="preserve"> </w:t>
      </w:r>
      <w:r>
        <w:rPr>
          <w:rFonts w:ascii="宋体" w:cs="宋体"/>
          <w:bCs/>
          <w:sz w:val="28"/>
          <w:szCs w:val="28"/>
        </w:rPr>
        <w:t xml:space="preserve">                   </w:t>
      </w:r>
      <w:r>
        <w:rPr>
          <w:rFonts w:ascii="Times New Roman" w:eastAsia="仿宋_GB2312" w:cs="仿宋_GB2312" w:hAnsi="Times New Roman"/>
          <w:sz w:val="24"/>
        </w:rPr>
        <w:t xml:space="preserve"> </w:t>
      </w:r>
      <w:r>
        <w:rPr>
          <w:rFonts w:ascii="Times New Roman" w:eastAsia="仿宋_GB2312" w:cs="仿宋_GB2312" w:hAnsi="Times New Roman" w:hint="eastAsia"/>
          <w:sz w:val="24"/>
        </w:rPr>
        <w:t>图1-</w:t>
      </w:r>
      <w:r>
        <w:rPr>
          <w:rFonts w:ascii="Times New Roman" w:eastAsia="仿宋_GB2312" w:cs="仿宋_GB2312" w:hAnsi="Times New Roman"/>
          <w:sz w:val="24"/>
        </w:rPr>
        <w:t>3</w:t>
      </w:r>
      <w:r>
        <w:rPr>
          <w:rFonts w:ascii="Times New Roman" w:eastAsia="仿宋_GB2312" w:cs="仿宋_GB2312" w:hAnsi="Times New Roman" w:hint="eastAsia"/>
          <w:sz w:val="24"/>
        </w:rPr>
        <w:t>：教学资源变化对比图</w:t>
      </w:r>
    </w:p>
    <w:p>
      <w:pPr>
        <w:pStyle w:val="16"/>
        <w:spacing w:line="440" w:lineRule="exact"/>
        <w:jc w:val="both"/>
        <w:rPr>
          <w:rFonts w:ascii="宋体" w:cs="宋体"/>
          <w:bCs/>
          <w:sz w:val="28"/>
          <w:szCs w:val="28"/>
        </w:rPr>
      </w:pPr>
    </w:p>
    <w:p>
      <w:pPr>
        <w:ind w:firstLineChars="200" w:firstLine="640"/>
        <w:jc w:val="left"/>
        <w:outlineLvl w:val="1"/>
        <w:rPr>
          <w:rFonts w:ascii="仿宋_GB2312" w:eastAsia="仿宋_GB2312" w:cs="仿宋_GB2312"/>
          <w:b/>
          <w:sz w:val="32"/>
          <w:szCs w:val="32"/>
        </w:rPr>
      </w:pPr>
      <w:bookmarkStart w:id="18" w:name="_Toc10046"/>
      <w:bookmarkStart w:id="19" w:name="_Toc6861_WPSOffice_Level2"/>
      <w:bookmarkStart w:id="20" w:name="_Toc84605520"/>
      <w:bookmarkStart w:id="21" w:name="_Toc23720"/>
      <w:r>
        <w:rPr>
          <w:rFonts w:ascii="仿宋_GB2312" w:eastAsia="仿宋_GB2312" w:cs="仿宋_GB2312" w:hint="eastAsia"/>
          <w:b/>
          <w:sz w:val="32"/>
          <w:szCs w:val="32"/>
        </w:rPr>
        <w:t>1.3教师队伍</w:t>
      </w:r>
      <w:bookmarkEnd w:id="18"/>
      <w:bookmarkEnd w:id="19"/>
      <w:bookmarkEnd w:id="20"/>
      <w:bookmarkEnd w:id="21"/>
    </w:p>
    <w:p>
      <w:pPr>
        <w:adjustRightInd w:val="0"/>
        <w:snapToGrid w:val="0"/>
        <w:spacing w:line="560" w:lineRule="exact"/>
        <w:ind w:firstLineChars="200" w:firstLine="480"/>
        <w:jc w:val="left"/>
        <w:rPr>
          <w:rFonts w:ascii="仿宋_GB2312" w:eastAsia="仿宋_GB2312" w:cs="仿宋_GB2312"/>
          <w:kern w:val="0"/>
          <w:sz w:val="32"/>
          <w:szCs w:val="32"/>
        </w:rPr>
      </w:pPr>
      <w:bookmarkStart w:id="22" w:name="_Toc28065_WPSOffice_Level2"/>
      <w:r>
        <w:rPr>
          <w:rFonts w:ascii="Times New Roman" w:eastAsia="仿宋_GB2312" w:cs="仿宋_GB2312" w:hAnsi="Times New Roman"/>
          <w:sz w:val="24"/>
        </w:rPr>
        <w:drawing>
          <wp:anchor distT="0" distB="0" distL="114300" distR="114300" simplePos="0" relativeHeight="121" behindDoc="0" locked="0" layoutInCell="1" hidden="0" allowOverlap="1">
            <wp:simplePos x="0" y="0"/>
            <wp:positionH relativeFrom="column">
              <wp:posOffset>609685</wp:posOffset>
            </wp:positionH>
            <wp:positionV relativeFrom="paragraph">
              <wp:posOffset>2454174</wp:posOffset>
            </wp:positionV>
            <wp:extent cx="4757332" cy="1990685"/>
            <wp:effectExtent l="0" t="0" r="0" b="0"/>
            <wp:wrapNone/>
            <wp:docPr id="7" name="图表 4"/>
            <wp:cNvGraphicFramePr>
              <a:graphicFrameLocks noChangeAspect="0"/>
            </wp:cNvGraphicFramePr>
            <a:graphic>
              <a:graphicData uri="http://schemas.openxmlformats.org/drawingml/2006/chart">
                <c:chart xmlns:c="http://schemas.openxmlformats.org/drawingml/2006/chart" r:id="rId13"/>
              </a:graphicData>
            </a:graphic>
          </wp:anchor>
        </w:drawing>
      </w:r>
      <w:r>
        <w:rPr>
          <w:rFonts w:ascii="仿宋_GB2312" w:eastAsia="仿宋_GB2312" w:cs="仿宋_GB2312" w:hint="eastAsia"/>
          <w:kern w:val="0"/>
          <w:sz w:val="32"/>
          <w:szCs w:val="32"/>
        </w:rPr>
        <w:t>全市中职学校教职员工总数2835人，其中专任教师由2</w:t>
      </w:r>
      <w:r>
        <w:rPr>
          <w:rFonts w:ascii="仿宋_GB2312" w:eastAsia="仿宋_GB2312" w:cs="仿宋_GB2312"/>
          <w:kern w:val="0"/>
          <w:sz w:val="32"/>
          <w:szCs w:val="32"/>
        </w:rPr>
        <w:t>020</w:t>
      </w:r>
      <w:r>
        <w:rPr>
          <w:rFonts w:ascii="仿宋_GB2312" w:eastAsia="仿宋_GB2312" w:cs="仿宋_GB2312" w:hint="eastAsia"/>
          <w:kern w:val="0"/>
          <w:sz w:val="32"/>
          <w:szCs w:val="32"/>
        </w:rPr>
        <w:t>年的2</w:t>
      </w:r>
      <w:r>
        <w:rPr>
          <w:rFonts w:ascii="仿宋_GB2312" w:eastAsia="仿宋_GB2312" w:cs="仿宋_GB2312"/>
          <w:kern w:val="0"/>
          <w:sz w:val="32"/>
          <w:szCs w:val="32"/>
        </w:rPr>
        <w:t>174</w:t>
      </w:r>
      <w:r>
        <w:rPr>
          <w:rFonts w:ascii="仿宋_GB2312" w:eastAsia="仿宋_GB2312" w:cs="仿宋_GB2312" w:hint="eastAsia"/>
          <w:kern w:val="0"/>
          <w:sz w:val="32"/>
          <w:szCs w:val="32"/>
        </w:rPr>
        <w:t>人增加为2209人。双师型教师10</w:t>
      </w:r>
      <w:r>
        <w:rPr>
          <w:rFonts w:ascii="仿宋_GB2312" w:eastAsia="仿宋_GB2312" w:cs="仿宋_GB2312"/>
          <w:kern w:val="0"/>
          <w:sz w:val="32"/>
          <w:szCs w:val="32"/>
        </w:rPr>
        <w:t>75</w:t>
      </w:r>
      <w:r>
        <w:rPr>
          <w:rFonts w:ascii="仿宋_GB2312" w:eastAsia="仿宋_GB2312" w:cs="仿宋_GB2312" w:hint="eastAsia"/>
          <w:kern w:val="0"/>
          <w:sz w:val="32"/>
          <w:szCs w:val="32"/>
        </w:rPr>
        <w:t>人，占专任教师的</w:t>
      </w:r>
      <w:r>
        <w:rPr>
          <w:rFonts w:ascii="仿宋_GB2312" w:eastAsia="仿宋_GB2312" w:cs="仿宋_GB2312"/>
          <w:kern w:val="0"/>
          <w:sz w:val="32"/>
          <w:szCs w:val="32"/>
        </w:rPr>
        <w:t>48.66</w:t>
      </w:r>
      <w:r>
        <w:rPr>
          <w:rFonts w:ascii="仿宋_GB2312" w:eastAsia="仿宋_GB2312" w:cs="仿宋_GB2312" w:hint="eastAsia"/>
          <w:kern w:val="0"/>
          <w:sz w:val="32"/>
          <w:szCs w:val="32"/>
        </w:rPr>
        <w:t>%。硕士及以上学历专任教师4</w:t>
      </w:r>
      <w:r>
        <w:rPr>
          <w:rFonts w:ascii="仿宋_GB2312" w:eastAsia="仿宋_GB2312" w:cs="仿宋_GB2312"/>
          <w:kern w:val="0"/>
          <w:sz w:val="32"/>
          <w:szCs w:val="32"/>
        </w:rPr>
        <w:t>8</w:t>
      </w:r>
      <w:r>
        <w:rPr>
          <w:rFonts w:ascii="仿宋_GB2312" w:eastAsia="仿宋_GB2312" w:cs="仿宋_GB2312" w:hint="eastAsia"/>
          <w:kern w:val="0"/>
          <w:sz w:val="32"/>
          <w:szCs w:val="32"/>
        </w:rPr>
        <w:t>7人，占比</w:t>
      </w:r>
      <w:r>
        <w:rPr>
          <w:rFonts w:ascii="仿宋_GB2312" w:eastAsia="仿宋_GB2312" w:cs="仿宋_GB2312"/>
          <w:kern w:val="0"/>
          <w:sz w:val="32"/>
          <w:szCs w:val="32"/>
        </w:rPr>
        <w:t>22</w:t>
      </w:r>
      <w:r>
        <w:rPr>
          <w:rFonts w:ascii="仿宋_GB2312" w:eastAsia="仿宋_GB2312" w:cs="仿宋_GB2312" w:hint="eastAsia"/>
          <w:kern w:val="0"/>
          <w:sz w:val="32"/>
          <w:szCs w:val="32"/>
        </w:rPr>
        <w:t>%，比2</w:t>
      </w:r>
      <w:r>
        <w:rPr>
          <w:rFonts w:ascii="仿宋_GB2312" w:eastAsia="仿宋_GB2312" w:cs="仿宋_GB2312"/>
          <w:kern w:val="0"/>
          <w:sz w:val="32"/>
          <w:szCs w:val="32"/>
        </w:rPr>
        <w:t>020</w:t>
      </w:r>
      <w:r>
        <w:rPr>
          <w:rFonts w:ascii="仿宋_GB2312" w:eastAsia="仿宋_GB2312" w:cs="仿宋_GB2312" w:hint="eastAsia"/>
          <w:kern w:val="0"/>
          <w:sz w:val="32"/>
          <w:szCs w:val="32"/>
        </w:rPr>
        <w:t>年的2</w:t>
      </w:r>
      <w:r>
        <w:rPr>
          <w:rFonts w:ascii="仿宋_GB2312" w:eastAsia="仿宋_GB2312" w:cs="仿宋_GB2312"/>
          <w:kern w:val="0"/>
          <w:sz w:val="32"/>
          <w:szCs w:val="32"/>
        </w:rPr>
        <w:t>1.94</w:t>
      </w:r>
      <w:r>
        <w:rPr>
          <w:rFonts w:ascii="仿宋_GB2312" w:eastAsia="仿宋_GB2312" w:cs="仿宋_GB2312" w:hint="eastAsia"/>
          <w:kern w:val="0"/>
          <w:sz w:val="32"/>
          <w:szCs w:val="32"/>
        </w:rPr>
        <w:t>%略有上升。2</w:t>
      </w:r>
      <w:r>
        <w:rPr>
          <w:rFonts w:ascii="仿宋_GB2312" w:eastAsia="仿宋_GB2312" w:cs="仿宋_GB2312"/>
          <w:kern w:val="0"/>
          <w:sz w:val="32"/>
          <w:szCs w:val="32"/>
        </w:rPr>
        <w:t>021</w:t>
      </w:r>
      <w:r>
        <w:rPr>
          <w:rFonts w:ascii="仿宋_GB2312" w:eastAsia="仿宋_GB2312" w:cs="仿宋_GB2312" w:hint="eastAsia"/>
          <w:kern w:val="0"/>
          <w:sz w:val="32"/>
          <w:szCs w:val="32"/>
        </w:rPr>
        <w:t>年，全市中职校共聘请兼职教师</w:t>
      </w:r>
      <w:r>
        <w:rPr>
          <w:rFonts w:ascii="仿宋_GB2312" w:eastAsia="仿宋_GB2312" w:cs="仿宋_GB2312"/>
          <w:kern w:val="0"/>
          <w:sz w:val="32"/>
          <w:szCs w:val="32"/>
        </w:rPr>
        <w:t>315</w:t>
      </w:r>
      <w:r>
        <w:rPr>
          <w:rFonts w:ascii="仿宋_GB2312" w:eastAsia="仿宋_GB2312" w:cs="仿宋_GB2312" w:hint="eastAsia"/>
          <w:kern w:val="0"/>
          <w:sz w:val="32"/>
          <w:szCs w:val="32"/>
        </w:rPr>
        <w:t>人，占比专任教师</w:t>
      </w:r>
      <w:r>
        <w:rPr>
          <w:rFonts w:ascii="仿宋_GB2312" w:eastAsia="仿宋_GB2312" w:cs="仿宋_GB2312"/>
          <w:kern w:val="0"/>
          <w:sz w:val="32"/>
          <w:szCs w:val="32"/>
        </w:rPr>
        <w:t>14.26</w:t>
      </w:r>
      <w:r>
        <w:rPr>
          <w:rFonts w:ascii="仿宋_GB2312" w:eastAsia="仿宋_GB2312" w:cs="仿宋_GB2312" w:hint="eastAsia"/>
          <w:kern w:val="0"/>
          <w:sz w:val="32"/>
          <w:szCs w:val="32"/>
        </w:rPr>
        <w:t>%，比2</w:t>
      </w:r>
      <w:r>
        <w:rPr>
          <w:rFonts w:ascii="仿宋_GB2312" w:eastAsia="仿宋_GB2312" w:cs="仿宋_GB2312"/>
          <w:kern w:val="0"/>
          <w:sz w:val="32"/>
          <w:szCs w:val="32"/>
        </w:rPr>
        <w:t>020</w:t>
      </w:r>
      <w:r>
        <w:rPr>
          <w:rFonts w:ascii="仿宋_GB2312" w:eastAsia="仿宋_GB2312" w:cs="仿宋_GB2312" w:hint="eastAsia"/>
          <w:kern w:val="0"/>
          <w:sz w:val="32"/>
          <w:szCs w:val="32"/>
        </w:rPr>
        <w:t>年度的1</w:t>
      </w:r>
      <w:r>
        <w:rPr>
          <w:rFonts w:ascii="仿宋_GB2312" w:eastAsia="仿宋_GB2312" w:cs="仿宋_GB2312"/>
          <w:kern w:val="0"/>
          <w:sz w:val="32"/>
          <w:szCs w:val="32"/>
        </w:rPr>
        <w:t>0.95</w:t>
      </w:r>
      <w:r>
        <w:rPr>
          <w:rFonts w:ascii="仿宋_GB2312" w:eastAsia="仿宋_GB2312" w:cs="仿宋_GB2312" w:hint="eastAsia"/>
          <w:kern w:val="0"/>
          <w:sz w:val="32"/>
          <w:szCs w:val="32"/>
        </w:rPr>
        <w:t>%有较大增加。教师技术技能和科研水平不断提升，专任教师高级职称人数</w:t>
      </w:r>
      <w:r>
        <w:rPr>
          <w:rFonts w:ascii="仿宋_GB2312" w:eastAsia="仿宋_GB2312" w:cs="仿宋_GB2312"/>
          <w:kern w:val="0"/>
          <w:sz w:val="32"/>
          <w:szCs w:val="32"/>
        </w:rPr>
        <w:t>813</w:t>
      </w:r>
      <w:r>
        <w:rPr>
          <w:rFonts w:ascii="仿宋_GB2312" w:eastAsia="仿宋_GB2312" w:cs="仿宋_GB2312" w:hint="eastAsia"/>
          <w:kern w:val="0"/>
          <w:sz w:val="32"/>
          <w:szCs w:val="32"/>
        </w:rPr>
        <w:t>人</w:t>
      </w:r>
      <w:r>
        <w:rPr>
          <w:rFonts w:ascii="仿宋_GB2312" w:eastAsia="仿宋_GB2312" w:cs="仿宋_GB2312"/>
          <w:kern w:val="0"/>
          <w:sz w:val="32"/>
          <w:szCs w:val="32"/>
        </w:rPr>
        <w:t>，</w:t>
      </w:r>
      <w:r>
        <w:rPr>
          <w:rFonts w:ascii="仿宋_GB2312" w:eastAsia="仿宋_GB2312" w:cs="仿宋_GB2312" w:hint="eastAsia"/>
          <w:kern w:val="0"/>
          <w:sz w:val="32"/>
          <w:szCs w:val="32"/>
        </w:rPr>
        <w:t>占专任教师总数的</w:t>
      </w:r>
      <w:r>
        <w:rPr>
          <w:rFonts w:ascii="仿宋_GB2312" w:eastAsia="仿宋_GB2312" w:cs="仿宋_GB2312"/>
          <w:kern w:val="0"/>
          <w:sz w:val="32"/>
          <w:szCs w:val="32"/>
        </w:rPr>
        <w:t>36.8</w:t>
      </w:r>
      <w:r>
        <w:rPr>
          <w:rFonts w:ascii="仿宋_GB2312" w:eastAsia="仿宋_GB2312" w:cs="仿宋_GB2312" w:hint="eastAsia"/>
          <w:kern w:val="0"/>
          <w:sz w:val="32"/>
          <w:szCs w:val="32"/>
        </w:rPr>
        <w:t>%，比2</w:t>
      </w:r>
      <w:r>
        <w:rPr>
          <w:rFonts w:ascii="仿宋_GB2312" w:eastAsia="仿宋_GB2312" w:cs="仿宋_GB2312"/>
          <w:kern w:val="0"/>
          <w:sz w:val="32"/>
          <w:szCs w:val="32"/>
        </w:rPr>
        <w:t>020</w:t>
      </w:r>
      <w:r>
        <w:rPr>
          <w:rFonts w:ascii="仿宋_GB2312" w:eastAsia="仿宋_GB2312" w:cs="仿宋_GB2312" w:hint="eastAsia"/>
          <w:kern w:val="0"/>
          <w:sz w:val="32"/>
          <w:szCs w:val="32"/>
        </w:rPr>
        <w:t>年的3</w:t>
      </w:r>
      <w:r>
        <w:rPr>
          <w:rFonts w:ascii="仿宋_GB2312" w:eastAsia="仿宋_GB2312" w:cs="仿宋_GB2312"/>
          <w:kern w:val="0"/>
          <w:sz w:val="32"/>
          <w:szCs w:val="32"/>
        </w:rPr>
        <w:t>4.3</w:t>
      </w:r>
      <w:r>
        <w:rPr>
          <w:rFonts w:ascii="仿宋_GB2312" w:eastAsia="仿宋_GB2312" w:cs="仿宋_GB2312" w:hint="eastAsia"/>
          <w:kern w:val="0"/>
          <w:sz w:val="32"/>
          <w:szCs w:val="32"/>
        </w:rPr>
        <w:t>%有所上升。</w:t>
      </w:r>
    </w:p>
    <w:p>
      <w:pPr>
        <w:ind w:left="0"/>
        <w:rPr>
          <w:rFonts w:ascii="Times New Roman" w:eastAsia="仿宋_GB2312" w:cs="仿宋_GB2312" w:hAnsi="Times New Roman"/>
          <w:sz w:val="24"/>
        </w:rPr>
      </w:pPr>
      <w:bookmarkStart w:id="23" w:name="_Toc4830"/>
      <w:bookmarkStart w:id="24" w:name="_Toc10492_WPSOffice_Level1"/>
      <w:bookmarkStart w:id="25" w:name="_Toc22009"/>
      <w:bookmarkEnd w:id="22"/>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ind w:firstLine="641"/>
        <w:jc w:val="center"/>
        <w:rPr>
          <w:rFonts w:ascii="Times New Roman" w:eastAsia="仿宋_GB2312" w:cs="仿宋_GB2312" w:hAnsi="Times New Roman"/>
          <w:sz w:val="24"/>
        </w:rPr>
      </w:pPr>
      <w:r>
        <w:rPr>
          <w:rFonts w:ascii="Times New Roman" w:eastAsia="仿宋_GB2312" w:cs="仿宋_GB2312" w:hAnsi="Times New Roman"/>
          <w:sz w:val="24"/>
        </w:rPr>
        <w:t xml:space="preserve">图1-4 </w:t>
      </w:r>
      <w:r>
        <w:rPr>
          <w:rFonts w:ascii="Times New Roman" w:eastAsia="仿宋_GB2312" w:cs="仿宋_GB2312" w:hAnsi="Times New Roman" w:hint="eastAsia"/>
          <w:sz w:val="24"/>
        </w:rPr>
        <w:t>：</w:t>
      </w:r>
      <w:r>
        <w:rPr>
          <w:rFonts w:ascii="Times New Roman" w:eastAsia="仿宋_GB2312" w:cs="仿宋_GB2312" w:hAnsi="Times New Roman"/>
          <w:sz w:val="24"/>
        </w:rPr>
        <w:t>2020、2021年</w:t>
      </w:r>
      <w:r>
        <w:rPr>
          <w:rFonts w:ascii="Times New Roman" w:eastAsia="仿宋_GB2312" w:cs="仿宋_GB2312" w:hAnsi="Times New Roman" w:hint="eastAsia"/>
          <w:sz w:val="24"/>
        </w:rPr>
        <w:t>度</w:t>
      </w:r>
      <w:r>
        <w:rPr>
          <w:rFonts w:ascii="Times New Roman" w:eastAsia="仿宋_GB2312" w:cs="仿宋_GB2312" w:hAnsi="Times New Roman"/>
          <w:sz w:val="24"/>
        </w:rPr>
        <w:t>中职教师情况图</w:t>
      </w:r>
    </w:p>
    <w:p>
      <w:pPr>
        <w:ind w:left="0" w:firstLineChars="150" w:firstLine="480"/>
        <w:jc w:val="left"/>
        <w:outlineLvl w:val="0"/>
        <w:rPr>
          <w:rFonts w:ascii="黑体" w:eastAsia="黑体" w:cs="黑体"/>
          <w:sz w:val="32"/>
          <w:szCs w:val="32"/>
        </w:rPr>
      </w:pPr>
    </w:p>
    <w:p>
      <w:pPr>
        <w:ind w:left="0" w:firstLineChars="150" w:firstLine="480"/>
        <w:jc w:val="left"/>
        <w:outlineLvl w:val="0"/>
        <w:rPr>
          <w:rFonts w:ascii="黑体" w:eastAsia="黑体" w:cs="黑体"/>
          <w:sz w:val="32"/>
          <w:szCs w:val="32"/>
        </w:rPr>
      </w:pPr>
      <w:bookmarkStart w:id="26" w:name="_Toc84605521"/>
      <w:r>
        <w:rPr>
          <w:rFonts w:ascii="黑体" w:eastAsia="黑体" w:cs="黑体"/>
          <w:sz w:val="32"/>
          <w:szCs w:val="32"/>
        </w:rPr>
        <w:t>2</w:t>
      </w:r>
      <w:r>
        <w:rPr>
          <w:rFonts w:ascii="黑体" w:eastAsia="黑体" w:cs="黑体" w:hint="eastAsia"/>
          <w:sz w:val="32"/>
          <w:szCs w:val="32"/>
        </w:rPr>
        <w:t>.学生发展</w:t>
      </w:r>
      <w:bookmarkEnd w:id="23"/>
      <w:bookmarkEnd w:id="24"/>
      <w:bookmarkEnd w:id="25"/>
      <w:bookmarkEnd w:id="26"/>
    </w:p>
    <w:p>
      <w:pPr>
        <w:spacing w:line="560" w:lineRule="exact"/>
        <w:ind w:firstLineChars="200" w:firstLine="640"/>
        <w:jc w:val="left"/>
        <w:rPr>
          <w:rFonts w:ascii="仿宋_GB2312" w:eastAsia="仿宋_GB2312" w:cs="仿宋_GB2312"/>
          <w:b/>
          <w:bCs/>
          <w:sz w:val="32"/>
          <w:szCs w:val="32"/>
        </w:rPr>
      </w:pPr>
      <w:bookmarkStart w:id="27" w:name="_Toc6523"/>
      <w:bookmarkStart w:id="28" w:name="_Toc27198"/>
      <w:bookmarkStart w:id="29" w:name="_Toc25979_WPSOffice_Level2"/>
      <w:r>
        <w:rPr>
          <w:rFonts w:ascii="仿宋_GB2312" w:eastAsia="仿宋_GB2312" w:cs="仿宋_GB2312"/>
          <w:b/>
          <w:bCs/>
          <w:sz w:val="32"/>
          <w:szCs w:val="32"/>
        </w:rPr>
        <w:t>2</w:t>
      </w:r>
      <w:r>
        <w:rPr>
          <w:rFonts w:ascii="仿宋_GB2312" w:eastAsia="仿宋_GB2312" w:cs="仿宋_GB2312" w:hint="eastAsia"/>
          <w:b/>
          <w:bCs/>
          <w:sz w:val="32"/>
          <w:szCs w:val="32"/>
        </w:rPr>
        <w:t>.1综合素质</w:t>
      </w:r>
      <w:bookmarkEnd w:id="27"/>
      <w:bookmarkEnd w:id="28"/>
      <w:bookmarkEnd w:id="29"/>
    </w:p>
    <w:p>
      <w:pPr>
        <w:spacing w:line="560" w:lineRule="exact"/>
        <w:ind w:firstLineChars="200" w:firstLine="640"/>
        <w:rPr>
          <w:rFonts w:ascii="仿宋_GB2312" w:eastAsia="仿宋_GB2312" w:cs="仿宋_GB2312"/>
          <w:sz w:val="32"/>
          <w:szCs w:val="32"/>
        </w:rPr>
      </w:pPr>
      <w:bookmarkStart w:id="30" w:name="_Toc5874"/>
      <w:r>
        <w:rPr>
          <w:rFonts w:ascii="仿宋_GB2312" w:eastAsia="仿宋_GB2312" w:cs="仿宋_GB2312"/>
          <w:sz w:val="32"/>
          <w:szCs w:val="32"/>
        </w:rPr>
        <w:t>全市始终坚持贯彻党的教育方针，以习近平新时代中国特色社会主义思想为指引，全面落实立德树人根本任务，培育和践行社会主义核心价值观，着力培养学生核心素养，完善德育评价体系，德育工作成效显著增强。</w:t>
      </w:r>
    </w:p>
    <w:p>
      <w:pPr>
        <w:spacing w:line="560" w:lineRule="exact"/>
        <w:ind w:firstLineChars="200" w:firstLine="640"/>
        <w:rPr>
          <w:rFonts w:ascii="仿宋_GB2312" w:eastAsia="仿宋_GB2312" w:cs="仿宋_GB2312"/>
          <w:sz w:val="32"/>
          <w:szCs w:val="32"/>
        </w:rPr>
      </w:pPr>
      <w:r>
        <w:rPr>
          <w:rFonts w:ascii="仿宋_GB2312" w:eastAsia="仿宋_GB2312" w:cs="仿宋_GB2312" w:hint="eastAsia"/>
          <w:sz w:val="32"/>
          <w:szCs w:val="32"/>
          <w:lang w:val="en-US" w:eastAsia="zh-CN"/>
        </w:rPr>
        <w:t>全面加强思想政治教育。加强队伍建设，思政课程</w:t>
      </w:r>
      <w:r>
        <w:rPr>
          <w:rFonts w:ascii="仿宋_GB2312" w:eastAsia="仿宋_GB2312" w:cs="仿宋_GB2312"/>
          <w:sz w:val="32"/>
          <w:szCs w:val="32"/>
        </w:rPr>
        <w:t>专任教师 146人，较2020年增加4人；德育管理人员609人，较2020年增加20人；思想政治课教学创新团队数15个，较去年增加8个。</w:t>
      </w:r>
      <w:r>
        <w:rPr>
          <w:rFonts w:ascii="仿宋_GB2312" w:eastAsia="仿宋_GB2312" w:cs="仿宋_GB2312" w:hint="eastAsia"/>
          <w:sz w:val="32"/>
          <w:szCs w:val="32"/>
          <w:lang w:val="en-US" w:eastAsia="zh-CN"/>
        </w:rPr>
        <w:t>各校开齐开足思政课程。</w:t>
      </w:r>
      <w:r>
        <w:rPr>
          <w:rFonts w:ascii="仿宋_GB2312" w:eastAsia="仿宋_GB2312" w:cs="仿宋_GB2312"/>
          <w:sz w:val="32"/>
          <w:szCs w:val="32"/>
        </w:rPr>
        <w:t>积极组织思政课研讨活动，在全市课堂开放日活动中开设专项思政课堂示范课，共同探讨思政教育教学。2021年度，共组织开展思政课堂示范课65节，</w:t>
      </w:r>
      <w:r>
        <w:rPr>
          <w:rFonts w:ascii="仿宋_GB2312" w:eastAsia="仿宋_GB2312" w:cs="仿宋_GB2312" w:hint="eastAsia"/>
          <w:sz w:val="32"/>
          <w:szCs w:val="32"/>
          <w:lang w:val="en-US" w:eastAsia="zh-CN"/>
        </w:rPr>
        <w:t>较上一</w:t>
      </w:r>
      <w:r>
        <w:rPr>
          <w:rFonts w:ascii="仿宋_GB2312" w:eastAsia="仿宋_GB2312" w:cs="仿宋_GB2312"/>
          <w:sz w:val="32"/>
          <w:szCs w:val="32"/>
        </w:rPr>
        <w:t>年度增加了13节。</w:t>
      </w:r>
    </w:p>
    <w:p>
      <w:pPr>
        <w:pStyle w:val="18"/>
      </w:pPr>
      <w:r>
        <w:rPr>
          <w:rFonts w:ascii="仿宋_GB2312" w:eastAsia="仿宋_GB2312" w:cs="仿宋_GB2312"/>
          <w:sz w:val="32"/>
          <w:szCs w:val="32"/>
        </w:rPr>
        <w:drawing>
          <wp:anchor distT="0" distB="0" distL="114300" distR="114300" simplePos="0" relativeHeight="75" behindDoc="0" locked="0" layoutInCell="1" hidden="0" allowOverlap="1">
            <wp:simplePos x="0" y="0"/>
            <wp:positionH relativeFrom="column">
              <wp:posOffset>674455</wp:posOffset>
            </wp:positionH>
            <wp:positionV relativeFrom="paragraph">
              <wp:posOffset>282602</wp:posOffset>
            </wp:positionV>
            <wp:extent cx="4502148" cy="2298700"/>
            <wp:effectExtent l="0" t="0" r="0" b="0"/>
            <wp:wrapTopAndBottom/>
            <wp:docPr id="8" name="图表 7"/>
            <wp:cNvGraphicFramePr>
              <a:graphicFrameLocks noChangeAspect="0"/>
            </wp:cNvGraphicFramePr>
            <a:graphic>
              <a:graphicData uri="http://schemas.openxmlformats.org/drawingml/2006/chart">
                <c:chart xmlns:c="http://schemas.openxmlformats.org/drawingml/2006/chart" r:id="rId14"/>
              </a:graphicData>
            </a:graphic>
          </wp:anchor>
        </w:drawing>
      </w:r>
    </w:p>
    <w:p>
      <w:pPr>
        <w:ind w:firstLineChars="900" w:firstLine="2160"/>
        <w:rPr>
          <w:rFonts w:ascii="Times New Roman" w:eastAsia="仿宋_GB2312" w:cs="仿宋_GB2312" w:hAnsi="Times New Roman"/>
          <w:sz w:val="24"/>
        </w:rPr>
      </w:pPr>
      <w:r>
        <w:rPr>
          <w:rFonts w:ascii="Times New Roman" w:eastAsia="仿宋_GB2312" w:cs="仿宋_GB2312" w:hAnsi="Times New Roman" w:hint="eastAsia"/>
          <w:sz w:val="24"/>
        </w:rPr>
        <w:t>图</w:t>
      </w:r>
      <w:r>
        <w:rPr>
          <w:rFonts w:ascii="Times New Roman" w:eastAsia="仿宋_GB2312" w:cs="仿宋_GB2312" w:hAnsi="Times New Roman"/>
          <w:sz w:val="24"/>
        </w:rPr>
        <w:t xml:space="preserve">2-1 </w:t>
      </w:r>
      <w:r>
        <w:rPr>
          <w:rFonts w:ascii="Times New Roman" w:eastAsia="仿宋_GB2312" w:cs="仿宋_GB2312" w:hAnsi="Times New Roman" w:hint="eastAsia"/>
          <w:sz w:val="24"/>
        </w:rPr>
        <w:t>：</w:t>
      </w:r>
      <w:r>
        <w:rPr>
          <w:rFonts w:ascii="Times New Roman" w:eastAsia="仿宋_GB2312" w:cs="仿宋_GB2312" w:hAnsi="Times New Roman"/>
          <w:sz w:val="24"/>
        </w:rPr>
        <w:t>2020</w:t>
      </w:r>
      <w:r>
        <w:rPr>
          <w:rFonts w:ascii="Times New Roman" w:eastAsia="仿宋_GB2312" w:cs="仿宋_GB2312" w:hAnsi="Times New Roman" w:hint="eastAsia"/>
          <w:sz w:val="24"/>
        </w:rPr>
        <w:t>、</w:t>
      </w:r>
      <w:r>
        <w:rPr>
          <w:rFonts w:ascii="Times New Roman" w:eastAsia="仿宋_GB2312" w:cs="仿宋_GB2312" w:hAnsi="Times New Roman"/>
          <w:sz w:val="24"/>
        </w:rPr>
        <w:t>2021</w:t>
      </w:r>
      <w:r>
        <w:rPr>
          <w:rFonts w:ascii="Times New Roman" w:eastAsia="仿宋_GB2312" w:cs="仿宋_GB2312" w:hAnsi="Times New Roman" w:hint="eastAsia"/>
          <w:sz w:val="24"/>
        </w:rPr>
        <w:t>年思政教育师资情况图</w:t>
      </w:r>
    </w:p>
    <w:p>
      <w:pPr>
        <w:rPr>
          <w:rFonts w:ascii="仿宋_GB2312" w:eastAsia="仿宋_GB2312" w:cs="仿宋_GB2312"/>
          <w:sz w:val="32"/>
          <w:szCs w:val="32"/>
        </w:rPr>
      </w:pPr>
      <w:r>
        <w:rPr>
          <w:rFonts w:hint="eastAsia"/>
        </w:rPr>
        <w:t xml:space="preserve"> </w:t>
      </w:r>
      <w:r>
        <w:t xml:space="preserve">    </w:t>
      </w:r>
      <w:r>
        <w:rPr>
          <w:rFonts w:ascii="仿宋_GB2312" w:eastAsia="仿宋_GB2312" w:cs="仿宋_GB2312"/>
          <w:sz w:val="32"/>
          <w:szCs w:val="32"/>
        </w:rPr>
        <w:t xml:space="preserve"> </w:t>
      </w:r>
      <w:r>
        <w:rPr>
          <w:rFonts w:ascii="仿宋_GB2312" w:eastAsia="仿宋_GB2312" w:cs="仿宋_GB2312" w:hint="eastAsia"/>
          <w:sz w:val="32"/>
          <w:szCs w:val="32"/>
          <w:lang w:val="en-US" w:eastAsia="zh-CN"/>
        </w:rPr>
        <w:t>推进育人模式改革。启动“匠心育魂”行动，</w:t>
      </w:r>
      <w:r>
        <w:rPr>
          <w:rFonts w:ascii="仿宋_GB2312" w:eastAsia="仿宋_GB2312" w:cs="仿宋_GB2312"/>
          <w:sz w:val="32"/>
          <w:szCs w:val="32"/>
        </w:rPr>
        <w:t>在学生的在校学习中，各校能积极将劳动教育与养成教育融在日常教育教学中，从日常的行为习惯入手，将工匠精神融会在日常教育当中，形成了形式多样的育人方式和方法。淮阴中等专业学校推出了“三维一核”渐进式育人模式，淮阴体校构建“五育人”三全育人工作体系。通过多种育人模式的实施与推行，全市中职校学生思想政治状况良好。</w:t>
      </w:r>
    </w:p>
    <w:p>
      <w:pPr>
        <w:spacing w:line="360" w:lineRule="auto"/>
        <w:ind w:right="1124"/>
        <w:jc w:val="center"/>
        <w:rPr>
          <w:rFonts w:ascii="黑体" w:eastAsia="黑体"/>
          <w:sz w:val="28"/>
          <w:szCs w:val="28"/>
        </w:rPr>
      </w:pPr>
      <w:r>
        <w:rPr>
          <w:rFonts w:ascii="黑体" w:eastAsia="黑体" w:hint="eastAsia"/>
          <w:sz w:val="28"/>
          <w:szCs w:val="28"/>
        </w:rPr>
        <w:t>典型案例1：</w:t>
      </w:r>
      <w:r>
        <w:rPr>
          <w:rFonts w:ascii="黑体" w:eastAsia="黑体"/>
          <w:sz w:val="28"/>
          <w:szCs w:val="28"/>
        </w:rPr>
        <w:t xml:space="preserve"> </w:t>
      </w:r>
      <w:r>
        <w:rPr>
          <w:rFonts w:ascii="黑体" w:eastAsia="黑体" w:hint="eastAsia"/>
          <w:sz w:val="28"/>
          <w:szCs w:val="28"/>
        </w:rPr>
        <w:t>求净、育雅、创谐</w:t>
      </w:r>
    </w:p>
    <w:p>
      <w:pPr>
        <w:spacing w:line="360" w:lineRule="auto"/>
        <w:jc w:val="center"/>
        <w:rPr>
          <w:rFonts w:ascii="黑体" w:eastAsia="黑体"/>
          <w:sz w:val="28"/>
          <w:szCs w:val="28"/>
        </w:rPr>
      </w:pPr>
      <w:r>
        <w:rPr>
          <w:rFonts w:ascii="黑体" w:eastAsia="黑体"/>
          <w:sz w:val="28"/>
          <w:szCs w:val="28"/>
        </w:rPr>
        <w:t>——淮阴中专</w:t>
      </w:r>
      <w:r>
        <w:rPr>
          <w:rFonts w:ascii="黑体" w:eastAsia="黑体" w:hint="eastAsia"/>
          <w:sz w:val="28"/>
          <w:szCs w:val="28"/>
        </w:rPr>
        <w:t>宿舍文化</w:t>
      </w:r>
      <w:r>
        <w:rPr>
          <w:rFonts w:ascii="黑体" w:eastAsia="黑体"/>
          <w:sz w:val="28"/>
          <w:szCs w:val="28"/>
        </w:rPr>
        <w:t>“</w:t>
      </w:r>
      <w:r>
        <w:rPr>
          <w:rFonts w:ascii="黑体" w:eastAsia="黑体" w:hint="eastAsia"/>
          <w:sz w:val="28"/>
          <w:szCs w:val="28"/>
        </w:rPr>
        <w:t>三维一核</w:t>
      </w:r>
      <w:r>
        <w:rPr>
          <w:rFonts w:ascii="黑体" w:eastAsia="黑体"/>
          <w:sz w:val="28"/>
          <w:szCs w:val="28"/>
        </w:rPr>
        <w:t>”</w:t>
      </w:r>
      <w:r>
        <w:rPr>
          <w:rFonts w:ascii="黑体" w:eastAsia="黑体" w:hint="eastAsia"/>
          <w:sz w:val="28"/>
          <w:szCs w:val="28"/>
        </w:rPr>
        <w:t>渐进式育人典型案例</w:t>
      </w:r>
    </w:p>
    <w:p>
      <w:pPr>
        <w:spacing w:line="500" w:lineRule="exact"/>
        <w:ind w:left="28" w:firstLineChars="200" w:firstLine="560"/>
        <w:rPr>
          <w:rFonts w:ascii="方正楷体_GBK" w:eastAsia="方正楷体_GBK" w:hint="eastAsia"/>
          <w:sz w:val="28"/>
          <w:szCs w:val="28"/>
        </w:rPr>
      </w:pPr>
      <w:r>
        <w:rPr>
          <w:rFonts w:ascii="方正楷体_GBK" w:eastAsia="方正楷体_GBK" w:hint="eastAsia"/>
          <w:sz w:val="28"/>
          <w:szCs w:val="28"/>
        </w:rPr>
        <w:t>宿舍文化是校园文化的重要组成部分，是新时期落实好立德树人、构建全员全过程全方位育人机制的新路径。江苏省淮阴中等专业学校从富有地域特色的淮阴“母爱文化”中汲取营养，打造爱心特色宿舍文化品牌，充分发挥宿舍文化育人功效，不断丰富“三全”育人新内涵。</w:t>
      </w:r>
    </w:p>
    <w:p>
      <w:pPr>
        <w:spacing w:line="500" w:lineRule="exact"/>
        <w:ind w:left="28" w:firstLineChars="200" w:firstLine="560"/>
        <w:rPr>
          <w:rFonts w:ascii="方正楷体_GBK" w:eastAsia="方正楷体_GBK" w:hint="eastAsia"/>
          <w:sz w:val="28"/>
          <w:szCs w:val="28"/>
        </w:rPr>
      </w:pPr>
      <w:r>
        <w:rPr>
          <w:rFonts w:ascii="方正楷体_GBK" w:eastAsia="方正楷体_GBK" w:hint="eastAsia"/>
          <w:sz w:val="28"/>
          <w:szCs w:val="28"/>
        </w:rPr>
        <w:t>以“宿舍文化高质量育人”为内核，沿“净”、“雅”、“谐”三个维度深化，创新构建“三维一核”渐进式育人实践新模式。采取组织架构网格化、团建下沉引领辐射化、企业7S管理融入化等创新举措，培养德智体美劳全面发展的社会主义建设者和接班人的成效显著，为职业学校宿舍文化育人提供了实践样板。</w:t>
      </w:r>
    </w:p>
    <w:p>
      <w:pPr>
        <w:ind w:left="28" w:firstLineChars="300" w:firstLine="900"/>
        <w:jc w:val="center"/>
        <w:rPr>
          <w:rFonts w:ascii="Times New Roman" w:eastAsia="仿宋_GB2312" w:cs="仿宋_GB2312" w:hAnsi="Times New Roman"/>
          <w:sz w:val="24"/>
        </w:rPr>
      </w:pPr>
      <w:r>
        <w:rPr>
          <w:rFonts w:ascii="宋体" w:cs="宋体"/>
          <w:color w:val="000000"/>
          <w:sz w:val="30"/>
          <w:szCs w:val="30"/>
        </w:rPr>
        <w:drawing>
          <wp:inline distT="0" distB="0" distL="114300" distR="114300">
            <wp:extent cx="2118932" cy="2439583"/>
            <wp:effectExtent l="0" t="0" r="33" b="18"/>
            <wp:docPr id="9" name="图片 21"/>
            <wp:cNvGraphicFramePr>
              <a:graphicFrameLocks noChangeAspect="1"/>
            </wp:cNvGraphicFramePr>
            <a:graphic>
              <a:graphicData uri="http://schemas.openxmlformats.org/drawingml/2006/picture">
                <pic:pic>
                  <pic:nvPicPr>
                    <pic:cNvPr id="11" name="图片 21 11"/>
                    <pic:cNvPicPr/>
                  </pic:nvPicPr>
                  <pic:blipFill>
                    <a:blip r:embed="rId15"/>
                    <a:stretch>
                      <a:fillRect/>
                    </a:stretch>
                  </pic:blipFill>
                  <pic:spPr>
                    <a:xfrm rot="0">
                      <a:off x="0" y="0"/>
                      <a:ext cx="2118932" cy="2439583"/>
                    </a:xfrm>
                    <a:prstGeom prst="rect"/>
                    <a:noFill/>
                    <a:ln w="9525" cmpd="sng" cap="flat">
                      <a:noFill/>
                      <a:prstDash val="solid"/>
                      <a:round/>
                    </a:ln>
                    <a:effectLst>
                      <a:softEdge rad="112500"/>
                    </a:effectLst>
                  </pic:spPr>
                </pic:pic>
              </a:graphicData>
            </a:graphic>
          </wp:inline>
        </w:drawing>
      </w:r>
    </w:p>
    <w:p>
      <w:pPr>
        <w:ind w:left="28" w:firstLineChars="300" w:firstLine="720"/>
        <w:jc w:val="center"/>
        <w:rPr>
          <w:rFonts w:ascii="Times New Roman" w:eastAsia="仿宋_GB2312" w:cs="仿宋_GB2312" w:hAnsi="Times New Roman"/>
          <w:sz w:val="24"/>
        </w:rPr>
      </w:pPr>
      <w:r>
        <w:rPr>
          <w:rFonts w:ascii="Times New Roman" w:eastAsia="仿宋_GB2312" w:cs="仿宋_GB2312" w:hAnsi="Times New Roman" w:hint="eastAsia"/>
          <w:sz w:val="24"/>
        </w:rPr>
        <w:t>图2-</w:t>
      </w:r>
      <w:r>
        <w:rPr>
          <w:rFonts w:ascii="Times New Roman" w:eastAsia="仿宋_GB2312" w:cs="仿宋_GB2312" w:hAnsi="Times New Roman"/>
          <w:sz w:val="24"/>
        </w:rPr>
        <w:t>2</w:t>
      </w:r>
      <w:r>
        <w:rPr>
          <w:rFonts w:ascii="Times New Roman" w:eastAsia="仿宋_GB2312" w:cs="仿宋_GB2312" w:hAnsi="Times New Roman" w:hint="eastAsia"/>
          <w:sz w:val="24"/>
        </w:rPr>
        <w:t>省教育厅曹玉梅副厅长到淮阴中专专题调研宿舍文化育人建设</w:t>
      </w:r>
    </w:p>
    <w:p>
      <w:pPr>
        <w:widowControl/>
        <w:shd w:val="clear" w:color="auto" w:fill="FFFFFF"/>
        <w:spacing w:line="315" w:lineRule="atLeast"/>
        <w:ind w:firstLine="480"/>
        <w:jc w:val="center"/>
        <w:rPr>
          <w:rFonts w:ascii="宋体" w:cs="Arial"/>
          <w:color w:val="333333"/>
          <w:kern w:val="0"/>
          <w:sz w:val="36"/>
        </w:rPr>
      </w:pPr>
      <w:r>
        <w:rPr>
          <w:rFonts w:ascii="黑体" w:eastAsia="黑体" w:hint="eastAsia"/>
          <w:sz w:val="28"/>
          <w:szCs w:val="28"/>
        </w:rPr>
        <w:t>典型案例</w:t>
      </w:r>
      <w:r>
        <w:rPr>
          <w:rFonts w:ascii="黑体" w:eastAsia="黑体"/>
          <w:sz w:val="28"/>
          <w:szCs w:val="28"/>
        </w:rPr>
        <w:t>2</w:t>
      </w:r>
      <w:r>
        <w:rPr>
          <w:rFonts w:ascii="黑体" w:eastAsia="黑体" w:hint="eastAsia"/>
          <w:sz w:val="28"/>
          <w:szCs w:val="28"/>
        </w:rPr>
        <w:t>：</w:t>
      </w:r>
      <w:r>
        <w:rPr>
          <w:rFonts w:ascii="黑体" w:eastAsia="黑体"/>
          <w:sz w:val="28"/>
          <w:szCs w:val="28"/>
        </w:rPr>
        <w:t>淮安体校</w:t>
      </w:r>
      <w:r>
        <w:rPr>
          <w:rFonts w:ascii="黑体" w:eastAsia="黑体" w:hint="eastAsia"/>
          <w:sz w:val="28"/>
          <w:szCs w:val="28"/>
        </w:rPr>
        <w:t>构建“五育人”，夯实“三全育人”工作体系</w:t>
      </w:r>
    </w:p>
    <w:p>
      <w:pPr>
        <w:widowControl/>
        <w:shd w:val="clear" w:color="auto" w:fill="FFFFFF"/>
        <w:spacing w:line="500" w:lineRule="exact"/>
        <w:ind w:firstLineChars="200" w:firstLine="560"/>
        <w:jc w:val="left"/>
        <w:rPr>
          <w:rFonts w:ascii="方正楷体_GBK" w:eastAsia="方正楷体_GBK" w:hint="eastAsia"/>
          <w:sz w:val="28"/>
          <w:szCs w:val="28"/>
        </w:rPr>
      </w:pPr>
      <w:r>
        <w:rPr>
          <w:rFonts w:ascii="方正楷体_GBK" w:eastAsia="方正楷体_GBK" w:hint="eastAsia"/>
          <w:sz w:val="28"/>
          <w:szCs w:val="28"/>
        </w:rPr>
        <w:t>淮安体校构建适应体育运动学校实际情况的“五育人”模式，即教书育人、训练育人、管理育人、服务育人、形象育人。要求全体教师通过课程思政，培养学生的全面素质，引导学生把个人理想与国家需要、集体利益有机结合起来，立志为国争光、传承奥运精神、创造一流成绩、实现个人价值。学校将“训练育人”作为德育工作重要内容。重视教练员在学生日常训练和生活中德育作用的发挥，通过体教深度融合，培育完全人格的体育人才。 “管理育人”是学生管理人员和教练员遵循学生成才规律和德育工作一般规律，从运动学校学生实际出发，开展行之有效的教育管理工作。“服务育人”是要求后勤服务人员在服务过程中教育学生爱护公物、节约水电、粮食等。“形象育人”是对全校教职员工的共同要求。</w:t>
      </w:r>
    </w:p>
    <w:p>
      <w:pPr>
        <w:widowControl/>
        <w:shd w:val="clear" w:color="auto" w:fill="FFFFFF"/>
        <w:spacing w:line="500" w:lineRule="exact"/>
        <w:ind w:firstLine="480"/>
        <w:jc w:val="left"/>
        <w:rPr>
          <w:rFonts w:ascii="方正楷体_GBK" w:eastAsia="方正楷体_GBK" w:hint="eastAsia"/>
          <w:sz w:val="28"/>
          <w:szCs w:val="28"/>
        </w:rPr>
      </w:pPr>
      <w:r>
        <w:rPr>
          <w:rFonts w:ascii="方正楷体_GBK" w:eastAsia="方正楷体_GBK" w:hint="eastAsia"/>
          <w:sz w:val="28"/>
          <w:szCs w:val="28"/>
        </w:rPr>
        <w:t>“五育人”是紧密相连的“五环”，是一个系统的网络。学校努力完善“五育人”模式的运行机制，健全“三全育人”工作体系，促进学生健康发展。</w:t>
      </w:r>
    </w:p>
    <w:p>
      <w:pPr>
        <w:pStyle w:val="18"/>
      </w:pPr>
      <w:r>
        <w:rPr>
          <w:rFonts w:ascii="宋体" w:cs="宋体"/>
          <w:kern w:val="0"/>
          <w:sz w:val="24"/>
        </w:rPr>
        <w:drawing>
          <wp:anchor distT="0" distB="0" distL="114300" distR="114300" simplePos="0" relativeHeight="81" behindDoc="0" locked="0" layoutInCell="1" hidden="0" allowOverlap="1">
            <wp:simplePos x="0" y="0"/>
            <wp:positionH relativeFrom="column">
              <wp:posOffset>80103</wp:posOffset>
            </wp:positionH>
            <wp:positionV relativeFrom="paragraph">
              <wp:posOffset>67910</wp:posOffset>
            </wp:positionV>
            <wp:extent cx="1924050" cy="1339053"/>
            <wp:effectExtent l="0" t="0" r="0" b="0"/>
            <wp:wrapNone/>
            <wp:docPr id="12" name="图片 13" descr="Ⅲ-7-2）-②开展“团员宣誓”主题活动照片"/>
            <wp:cNvGraphicFramePr>
              <a:graphicFrameLocks noChangeAspect="1"/>
            </wp:cNvGraphicFramePr>
            <a:graphic>
              <a:graphicData uri="http://schemas.openxmlformats.org/drawingml/2006/picture">
                <pic:pic>
                  <pic:nvPicPr>
                    <pic:cNvPr id="14" name="图片 13 14"/>
                    <pic:cNvPicPr/>
                  </pic:nvPicPr>
                  <pic:blipFill>
                    <a:blip r:embed="rId16"/>
                    <a:stretch>
                      <a:fillRect/>
                    </a:stretch>
                  </pic:blipFill>
                  <pic:spPr>
                    <a:xfrm rot="0">
                      <a:off x="0" y="0"/>
                      <a:ext cx="1924050" cy="1339053"/>
                    </a:xfrm>
                    <a:prstGeom prst="rect"/>
                    <a:noFill/>
                    <a:ln w="9525" cmpd="sng" cap="flat">
                      <a:noFill/>
                      <a:prstDash val="solid"/>
                      <a:round/>
                    </a:ln>
                  </pic:spPr>
                </pic:pic>
              </a:graphicData>
            </a:graphic>
          </wp:anchor>
        </w:drawing>
      </w:r>
      <w:r>
        <w:drawing>
          <wp:anchor distT="0" distB="0" distL="114300" distR="114300" simplePos="0" relativeHeight="79" behindDoc="0" locked="0" layoutInCell="1" hidden="0" allowOverlap="1">
            <wp:simplePos x="0" y="0"/>
            <wp:positionH relativeFrom="column">
              <wp:posOffset>3848803</wp:posOffset>
            </wp:positionH>
            <wp:positionV relativeFrom="paragraph">
              <wp:posOffset>55244</wp:posOffset>
            </wp:positionV>
            <wp:extent cx="1936748" cy="1323178"/>
            <wp:effectExtent l="0" t="0" r="0" b="0"/>
            <wp:wrapNone/>
            <wp:docPr id="15" name="图片 25" descr="mmexport1637304236795"/>
            <wp:cNvGraphicFramePr>
              <a:graphicFrameLocks noChangeAspect="1"/>
            </wp:cNvGraphicFramePr>
            <a:graphic>
              <a:graphicData uri="http://schemas.openxmlformats.org/drawingml/2006/picture">
                <pic:pic>
                  <pic:nvPicPr>
                    <pic:cNvPr id="17" name="图片 25 17"/>
                    <pic:cNvPicPr/>
                  </pic:nvPicPr>
                  <pic:blipFill>
                    <a:blip r:embed="rId17"/>
                    <a:stretch>
                      <a:fillRect/>
                    </a:stretch>
                  </pic:blipFill>
                  <pic:spPr>
                    <a:xfrm rot="0">
                      <a:off x="0" y="0"/>
                      <a:ext cx="1936748" cy="1323178"/>
                    </a:xfrm>
                    <a:prstGeom prst="rect"/>
                    <a:noFill/>
                    <a:ln w="9525" cmpd="sng" cap="flat">
                      <a:noFill/>
                      <a:prstDash val="solid"/>
                      <a:round/>
                    </a:ln>
                  </pic:spPr>
                </pic:pic>
              </a:graphicData>
            </a:graphic>
          </wp:anchor>
        </w:drawing>
      </w:r>
      <w:r>
        <w:drawing>
          <wp:anchor distT="0" distB="0" distL="114300" distR="114300" simplePos="0" relativeHeight="77" behindDoc="0" locked="0" layoutInCell="1" hidden="0" allowOverlap="1">
            <wp:simplePos x="0" y="0"/>
            <wp:positionH relativeFrom="column">
              <wp:posOffset>2039081</wp:posOffset>
            </wp:positionH>
            <wp:positionV relativeFrom="paragraph">
              <wp:posOffset>50766</wp:posOffset>
            </wp:positionV>
            <wp:extent cx="1771649" cy="1356198"/>
            <wp:effectExtent l="0" t="0" r="0" b="0"/>
            <wp:wrapNone/>
            <wp:docPr id="18" name="图片 14" descr="IMG_20210730_101757"/>
            <wp:cNvGraphicFramePr>
              <a:graphicFrameLocks noChangeAspect="1"/>
            </wp:cNvGraphicFramePr>
            <a:graphic>
              <a:graphicData uri="http://schemas.openxmlformats.org/drawingml/2006/picture">
                <pic:pic>
                  <pic:nvPicPr>
                    <pic:cNvPr id="20" name="图片 14 20"/>
                    <pic:cNvPicPr/>
                  </pic:nvPicPr>
                  <pic:blipFill>
                    <a:blip r:embed="rId18"/>
                    <a:stretch>
                      <a:fillRect/>
                    </a:stretch>
                  </pic:blipFill>
                  <pic:spPr>
                    <a:xfrm rot="0">
                      <a:off x="0" y="0"/>
                      <a:ext cx="1771649" cy="1356198"/>
                    </a:xfrm>
                    <a:prstGeom prst="rect"/>
                    <a:noFill/>
                    <a:ln w="9525" cmpd="sng" cap="flat">
                      <a:noFill/>
                      <a:prstDash val="solid"/>
                      <a:round/>
                    </a:ln>
                  </pic:spPr>
                </pic:pic>
              </a:graphicData>
            </a:graphic>
          </wp:anchor>
        </w:drawing>
      </w:r>
    </w:p>
    <w:p/>
    <w:p>
      <w:pPr>
        <w:pStyle w:val="18"/>
      </w:pPr>
    </w:p>
    <w:p/>
    <w:p>
      <w:pPr>
        <w:pStyle w:val="18"/>
      </w:pPr>
    </w:p>
    <w:p>
      <w:pPr>
        <w:widowControl/>
        <w:shd w:val="clear" w:color="auto" w:fill="FFFFFF"/>
        <w:spacing w:line="315" w:lineRule="atLeast"/>
        <w:ind w:firstLine="480"/>
        <w:jc w:val="center"/>
        <w:rPr>
          <w:rFonts w:ascii="Times New Roman" w:eastAsia="仿宋_GB2312" w:cs="仿宋_GB2312" w:hAnsi="Times New Roman"/>
          <w:sz w:val="24"/>
        </w:rPr>
      </w:pPr>
    </w:p>
    <w:p>
      <w:pPr>
        <w:widowControl/>
        <w:shd w:val="clear" w:color="auto" w:fill="FFFFFF"/>
        <w:spacing w:line="315" w:lineRule="atLeast"/>
        <w:ind w:firstLine="480"/>
        <w:jc w:val="center"/>
        <w:rPr>
          <w:rFonts w:ascii="仿宋_GB2312" w:eastAsia="仿宋_GB2312"/>
          <w:sz w:val="24"/>
        </w:rPr>
      </w:pPr>
      <w:r>
        <w:rPr>
          <w:rFonts w:ascii="Times New Roman" w:eastAsia="仿宋_GB2312" w:cs="仿宋_GB2312" w:hAnsi="Times New Roman" w:hint="eastAsia"/>
          <w:sz w:val="24"/>
        </w:rPr>
        <w:t>图2-</w:t>
      </w:r>
      <w:r>
        <w:rPr>
          <w:rFonts w:ascii="Times New Roman" w:eastAsia="仿宋_GB2312" w:cs="仿宋_GB2312" w:hAnsi="Times New Roman"/>
          <w:sz w:val="24"/>
        </w:rPr>
        <w:t>3</w:t>
      </w:r>
      <w:r>
        <w:rPr>
          <w:rFonts w:ascii="Times New Roman" w:eastAsia="仿宋_GB2312" w:cs="仿宋_GB2312" w:hAnsi="Times New Roman" w:hint="eastAsia"/>
          <w:sz w:val="24"/>
        </w:rPr>
        <w:t>：淮安体校“五育人”模式实施</w:t>
      </w:r>
    </w:p>
    <w:p>
      <w:pPr>
        <w:widowControl/>
        <w:ind w:left="0" w:firstLineChars="200" w:firstLine="640"/>
        <w:jc w:val="left"/>
        <w:rPr>
          <w:rFonts w:ascii="仿宋_GB2312" w:eastAsia="仿宋_GB2312" w:cs="仿宋_GB2312"/>
          <w:sz w:val="32"/>
          <w:szCs w:val="32"/>
        </w:rPr>
      </w:pPr>
      <w:r>
        <w:rPr>
          <w:rFonts w:ascii="仿宋_GB2312" w:eastAsia="仿宋_GB2312" w:cs="仿宋_GB2312"/>
          <w:sz w:val="32"/>
          <w:szCs w:val="32"/>
        </w:rPr>
        <w:t>重视提升学生文化素养。每学期开学前组织教师针对文化课薄弱的学生进行专项辅导，帮助部分学生补齐短板。落实文化基础课课程标准，为学生终身发展奠定基础。2020-2021年，各校学生学业水平考试文化课参考人数9435人，合格人数8435人，增加218人，合格率为89.4%。</w:t>
      </w:r>
    </w:p>
    <w:p>
      <w:pPr>
        <w:widowControl/>
        <w:shd w:val="clear" w:color="auto" w:fill="FFFFFF"/>
        <w:spacing w:line="315" w:lineRule="atLeast"/>
        <w:ind w:firstLine="480"/>
        <w:jc w:val="center"/>
        <w:rPr>
          <w:rFonts w:ascii="Times New Roman" w:eastAsia="仿宋_GB2312" w:cs="仿宋_GB2312" w:hAnsi="Times New Roman"/>
          <w:bCs/>
          <w:sz w:val="24"/>
        </w:rPr>
      </w:pPr>
      <w:r>
        <w:rPr>
          <w:rFonts w:ascii="仿宋_GB2312" w:eastAsia="仿宋_GB2312" w:cs="仿宋_GB2312" w:hint="eastAsia"/>
          <w:sz w:val="32"/>
          <w:szCs w:val="32"/>
          <w:lang w:val="en-US" w:eastAsia="zh-CN"/>
        </w:rPr>
        <w:t>加强体育与美育</w:t>
      </w: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加强体育专业教师建设，</w:t>
      </w:r>
      <w:r>
        <w:rPr>
          <w:rFonts w:ascii="仿宋_GB2312" w:eastAsia="仿宋_GB2312" w:cs="仿宋_GB2312"/>
          <w:sz w:val="32"/>
          <w:szCs w:val="32"/>
        </w:rPr>
        <w:t>全市体育专任教师由125人增加到134人，美育专任教师109人。各中职学校积极开展大课间跑操活动，确保学生每天户外活动时间不少于1</w:t>
      </w:r>
    </w:p>
    <w:p>
      <w:pPr>
        <w:widowControl/>
        <w:jc w:val="both"/>
        <w:rPr>
          <w:rFonts w:ascii="仿宋_GB2312" w:eastAsia="仿宋_GB2312" w:cs="仿宋_GB2312"/>
          <w:sz w:val="32"/>
          <w:szCs w:val="32"/>
          <w:lang w:val="en-US" w:eastAsia="zh-CN"/>
          <w:highlight w:val="yellow"/>
        </w:rPr>
      </w:pPr>
      <w:r>
        <w:rPr>
          <w:rFonts w:ascii="仿宋_GB2312" w:eastAsia="仿宋_GB2312" w:cs="仿宋_GB2312"/>
          <w:sz w:val="32"/>
          <w:szCs w:val="32"/>
          <w:lang w:val="en-US"/>
        </w:rPr>
        <w:drawing>
          <wp:anchor distT="0" distB="0" distL="114300" distR="114300" simplePos="0" relativeHeight="83" behindDoc="0" locked="0" layoutInCell="1" hidden="0" allowOverlap="1">
            <wp:simplePos x="0" y="0"/>
            <wp:positionH relativeFrom="column">
              <wp:posOffset>666168</wp:posOffset>
            </wp:positionH>
            <wp:positionV relativeFrom="paragraph">
              <wp:posOffset>2165380</wp:posOffset>
            </wp:positionV>
            <wp:extent cx="4692650" cy="2463798"/>
            <wp:effectExtent l="0" t="0" r="0" b="0"/>
            <wp:wrapTopAndBottom/>
            <wp:docPr id="21" name="图表 28"/>
            <wp:cNvGraphicFramePr>
              <a:graphicFrameLocks noChangeAspect="0"/>
            </wp:cNvGraphicFramePr>
            <a:graphic>
              <a:graphicData uri="http://schemas.openxmlformats.org/drawingml/2006/chart">
                <c:chart xmlns:c="http://schemas.openxmlformats.org/drawingml/2006/chart" r:id="rId19"/>
              </a:graphicData>
            </a:graphic>
          </wp:anchor>
        </w:drawing>
      </w:r>
      <w:r>
        <w:rPr>
          <w:rFonts w:ascii="仿宋_GB2312" w:eastAsia="仿宋_GB2312" w:cs="仿宋_GB2312"/>
          <w:sz w:val="32"/>
          <w:szCs w:val="32"/>
        </w:rPr>
        <w:t>小时。</w:t>
      </w:r>
      <w:r>
        <w:rPr>
          <w:rFonts w:ascii="仿宋_GB2312" w:eastAsia="仿宋_GB2312" w:cs="仿宋_GB2312" w:hint="eastAsia"/>
          <w:sz w:val="32"/>
          <w:szCs w:val="32"/>
          <w:lang w:val="en-US" w:eastAsia="zh-CN"/>
        </w:rPr>
        <w:t>支持各类艺体社团发展，提升学生体质和艺术素养。</w:t>
      </w:r>
      <w:r>
        <w:rPr>
          <w:rFonts w:ascii="仿宋_GB2312" w:eastAsia="仿宋_GB2312" w:cs="仿宋_GB2312"/>
          <w:sz w:val="32"/>
          <w:szCs w:val="32"/>
        </w:rPr>
        <w:t>2020-2021年，在校生体质测评合格率为95%，比2020年有较大幅度提升。</w:t>
      </w:r>
      <w:r>
        <w:rPr>
          <w:rFonts w:ascii="仿宋_GB2312" w:eastAsia="仿宋_GB2312" w:cs="仿宋_GB2312"/>
          <w:sz w:val="32"/>
          <w:szCs w:val="32"/>
          <w:lang w:val="en-US" w:eastAsia="zh-CN"/>
        </w:rPr>
        <w:t>淮安中专、淮安体校获得全市经典诵读比赛特等奖，淮阴商</w:t>
      </w:r>
      <w:r>
        <w:rPr>
          <w:rFonts w:ascii="仿宋_GB2312" w:eastAsia="仿宋_GB2312" w:cs="仿宋_GB2312" w:hint="eastAsia"/>
          <w:sz w:val="32"/>
          <w:szCs w:val="32"/>
          <w:lang w:val="en-US" w:eastAsia="zh-CN"/>
        </w:rPr>
        <w:t>校代表队</w:t>
      </w:r>
      <w:r>
        <w:rPr>
          <w:rFonts w:ascii="仿宋_GB2312" w:eastAsia="仿宋_GB2312" w:cs="仿宋_GB2312"/>
          <w:sz w:val="32"/>
          <w:szCs w:val="32"/>
          <w:lang w:val="en-US" w:eastAsia="zh-CN"/>
        </w:rPr>
        <w:t>取得全市中学生运动会</w:t>
      </w:r>
      <w:r>
        <w:rPr>
          <w:rFonts w:ascii="仿宋_GB2312" w:eastAsia="仿宋_GB2312" w:cs="仿宋_GB2312" w:hint="eastAsia"/>
          <w:sz w:val="32"/>
          <w:szCs w:val="32"/>
          <w:lang w:val="en-US" w:eastAsia="zh-CN"/>
        </w:rPr>
        <w:t>团体总分第三名的成绩，并打破1项赛会记录。</w:t>
      </w:r>
    </w:p>
    <w:p>
      <w:pPr>
        <w:widowControl/>
        <w:shd w:val="clear" w:color="auto" w:fill="FFFFFF"/>
        <w:spacing w:line="315" w:lineRule="atLeast"/>
        <w:ind w:firstLine="480"/>
        <w:jc w:val="center"/>
        <w:rPr>
          <w:rFonts w:ascii="Times New Roman" w:eastAsia="仿宋_GB2312" w:cs="仿宋_GB2312" w:hAnsi="Times New Roman"/>
          <w:bCs/>
          <w:sz w:val="24"/>
        </w:rPr>
      </w:pPr>
      <w:bookmarkStart w:id="31" w:name="_Toc12614"/>
      <w:bookmarkStart w:id="32" w:name="_Toc84605522"/>
      <w:r>
        <w:rPr>
          <w:rFonts w:ascii="Times New Roman" w:eastAsia="仿宋_GB2312" w:cs="仿宋_GB2312" w:hAnsi="Times New Roman"/>
          <w:bCs/>
          <w:sz w:val="24"/>
        </w:rPr>
        <w:t>图2-4 学生体质、技能、文化测试合格率</w:t>
      </w:r>
    </w:p>
    <w:p>
      <w:pPr>
        <w:ind w:firstLineChars="200" w:firstLine="640"/>
        <w:outlineLvl w:val="1"/>
        <w:rPr>
          <w:rFonts w:ascii="仿宋_GB2312" w:eastAsia="仿宋_GB2312" w:cs="仿宋_GB2312"/>
          <w:b/>
          <w:bCs/>
          <w:sz w:val="32"/>
          <w:szCs w:val="32"/>
        </w:rPr>
      </w:pPr>
      <w:r>
        <w:rPr>
          <w:rFonts w:ascii="仿宋_GB2312" w:eastAsia="仿宋_GB2312" w:cs="仿宋_GB2312"/>
          <w:b/>
          <w:bCs/>
          <w:sz w:val="32"/>
          <w:szCs w:val="32"/>
        </w:rPr>
        <w:t>2</w:t>
      </w:r>
      <w:r>
        <w:rPr>
          <w:rFonts w:ascii="仿宋_GB2312" w:eastAsia="仿宋_GB2312" w:cs="仿宋_GB2312" w:hint="eastAsia"/>
          <w:b/>
          <w:bCs/>
          <w:sz w:val="32"/>
          <w:szCs w:val="32"/>
        </w:rPr>
        <w:t>.2技术技能</w:t>
      </w:r>
      <w:bookmarkEnd w:id="31"/>
      <w:bookmarkEnd w:id="32"/>
    </w:p>
    <w:p>
      <w:pPr>
        <w:spacing w:line="560" w:lineRule="exact"/>
        <w:ind w:firstLineChars="200" w:firstLine="640"/>
        <w:jc w:val="left"/>
        <w:rPr>
          <w:rFonts w:ascii="仿宋_GB2312" w:eastAsia="仿宋_GB2312" w:cs="仿宋_GB2312"/>
          <w:sz w:val="32"/>
          <w:szCs w:val="32"/>
        </w:rPr>
      </w:pPr>
      <w:r>
        <w:rPr>
          <w:rFonts w:ascii="仿宋_GB2312" w:eastAsia="仿宋_GB2312" w:cs="仿宋_GB2312"/>
          <w:sz w:val="32"/>
          <w:szCs w:val="32"/>
        </w:rPr>
        <w:t>高标准完成技能考点建设维护。市教育局组织了全市27个专业大类的学考技能考试，完成全市技能考试标准化考点的配置、建设和维护工作，新建淮安中专幼儿保育专业技能考点。全市中职参考学考技能考试人数8470人，合格人数7577人，技能合格率达到89.46%。学生文化素养、职业素养不断提高。</w:t>
      </w:r>
    </w:p>
    <w:p>
      <w:pPr>
        <w:spacing w:line="560" w:lineRule="exact"/>
        <w:ind w:firstLineChars="200" w:firstLine="640"/>
        <w:rPr>
          <w:rFonts w:ascii="仿宋_GB2312" w:eastAsia="仿宋_GB2312" w:cs="仿宋_GB2312"/>
          <w:sz w:val="32"/>
          <w:szCs w:val="32"/>
        </w:rPr>
      </w:pPr>
      <w:bookmarkStart w:id="33" w:name="_Toc13828"/>
      <w:bookmarkStart w:id="34" w:name="_Toc23312"/>
      <w:r>
        <w:rPr>
          <w:rFonts w:ascii="仿宋_GB2312" w:eastAsia="仿宋_GB2312" w:cs="仿宋_GB2312"/>
          <w:sz w:val="32"/>
          <w:szCs w:val="32"/>
        </w:rPr>
        <w:t>强化实践教学，锤炼学生技能水平。各校能积极根据省市</w:t>
      </w:r>
      <w:r>
        <w:rPr>
          <w:rFonts w:ascii="仿宋_GB2312" w:eastAsia="仿宋_GB2312" w:cs="仿宋_GB2312" w:hint="eastAsia"/>
          <w:sz w:val="32"/>
          <w:szCs w:val="32"/>
          <w:lang w:val="en-US" w:eastAsia="zh-CN"/>
        </w:rPr>
        <w:t>人才培养方案</w:t>
      </w:r>
      <w:r>
        <w:rPr>
          <w:rFonts w:ascii="仿宋_GB2312" w:eastAsia="仿宋_GB2312" w:cs="仿宋_GB2312"/>
          <w:sz w:val="32"/>
          <w:szCs w:val="32"/>
        </w:rPr>
        <w:t>要求，</w:t>
      </w:r>
      <w:r>
        <w:rPr>
          <w:rFonts w:ascii="仿宋_GB2312" w:eastAsia="仿宋_GB2312" w:cs="仿宋_GB2312" w:hint="eastAsia"/>
          <w:sz w:val="32"/>
          <w:szCs w:val="32"/>
          <w:lang w:val="en-US" w:eastAsia="zh-CN"/>
        </w:rPr>
        <w:t>开齐开足</w:t>
      </w:r>
      <w:r>
        <w:rPr>
          <w:rFonts w:ascii="仿宋_GB2312" w:eastAsia="仿宋_GB2312" w:cs="仿宋_GB2312"/>
          <w:sz w:val="32"/>
          <w:szCs w:val="32"/>
        </w:rPr>
        <w:t>实验实训课，积极提升学生技能水平。</w:t>
      </w:r>
      <w:r>
        <w:rPr>
          <w:rFonts w:ascii="仿宋_GB2312" w:eastAsia="仿宋_GB2312" w:cs="仿宋_GB2312" w:hint="eastAsia"/>
          <w:sz w:val="32"/>
          <w:szCs w:val="32"/>
          <w:lang w:val="en-US" w:eastAsia="zh-CN"/>
        </w:rPr>
        <w:t>推行技能大赛全覆盖，校级技能大赛普遍开展，市赛实现专业全覆盖。全市职业学校350名选手组成40个代表队参加全省技能大赛，淮安共设2个赛点校，承办了5个项目省赛。</w:t>
      </w:r>
      <w:bookmarkEnd w:id="33"/>
      <w:bookmarkEnd w:id="34"/>
      <w:r>
        <w:rPr>
          <w:rFonts w:ascii="仿宋_GB2312" w:eastAsia="仿宋_GB2312" w:cs="仿宋_GB2312"/>
          <w:sz w:val="32"/>
          <w:szCs w:val="32"/>
        </w:rPr>
        <w:t>在2021年的全国技能大赛中，全市共有5人获奖，市高职校、商校、生物工程学校等成为国赛、省赛赛点；2021年全省技能赛中职组比赛淮安代表队获19金31银88铜，总分排名全省第六，淮安中专在国赛中代表江苏省赢得工业机器人项目一金一银。在技能教学同时，学校还积极参加社会实践，利用实践机会让学生利用专业技能、提升专业技能。</w:t>
      </w:r>
    </w:p>
    <w:p>
      <w:pPr>
        <w:snapToGrid w:val="0"/>
        <w:spacing w:line="560" w:lineRule="atLeast"/>
        <w:ind w:firstLineChars="200" w:firstLine="560"/>
        <w:jc w:val="center"/>
        <w:rPr>
          <w:rFonts w:ascii="微软雅黑" w:eastAsia="微软雅黑" w:cs="微软雅黑"/>
          <w:sz w:val="28"/>
          <w:szCs w:val="28"/>
        </w:rPr>
      </w:pPr>
      <w:r>
        <w:rPr>
          <w:rFonts w:ascii="黑体" w:eastAsia="黑体" w:hint="eastAsia"/>
          <w:sz w:val="28"/>
          <w:szCs w:val="28"/>
        </w:rPr>
        <w:t>典型案例</w:t>
      </w:r>
      <w:r>
        <w:rPr>
          <w:rFonts w:ascii="黑体" w:eastAsia="黑体"/>
          <w:sz w:val="28"/>
          <w:szCs w:val="28"/>
        </w:rPr>
        <w:t>3</w:t>
      </w:r>
      <w:r>
        <w:rPr>
          <w:rFonts w:ascii="黑体" w:eastAsia="黑体" w:hint="eastAsia"/>
          <w:sz w:val="28"/>
          <w:szCs w:val="28"/>
        </w:rPr>
        <w:t>：</w:t>
      </w:r>
      <w:r>
        <w:rPr>
          <w:rFonts w:ascii="黑体" w:eastAsia="黑体"/>
          <w:sz w:val="28"/>
          <w:szCs w:val="28"/>
        </w:rPr>
        <w:t>淮安中专</w:t>
      </w:r>
      <w:r>
        <w:rPr>
          <w:rFonts w:ascii="黑体" w:eastAsia="黑体" w:hint="eastAsia"/>
          <w:sz w:val="28"/>
          <w:szCs w:val="28"/>
        </w:rPr>
        <w:t>积极参加社会实践，提升专业技能</w:t>
      </w:r>
    </w:p>
    <w:p>
      <w:pPr>
        <w:snapToGrid w:val="0"/>
        <w:spacing w:line="560" w:lineRule="atLeast"/>
        <w:ind w:firstLineChars="200" w:firstLine="560"/>
        <w:jc w:val="left"/>
        <w:rPr>
          <w:rFonts w:ascii="方正楷体_GBK" w:eastAsia="方正楷体_GBK" w:hint="eastAsia"/>
          <w:sz w:val="28"/>
          <w:szCs w:val="28"/>
        </w:rPr>
      </w:pPr>
      <w:r>
        <w:rPr>
          <w:rFonts w:ascii="方正楷体_GBK" w:eastAsia="方正楷体_GBK" w:hint="eastAsia"/>
          <w:sz w:val="28"/>
          <w:szCs w:val="28"/>
        </w:rPr>
        <w:t>2021年4月18日，作为“奔跑中国”马拉松系列赛的重要一站，淮安西游乐园马拉松赛盛大举行。为配合此次盛会，将最美的淮安展现在世界面前，淮安</w:t>
      </w:r>
      <w:r>
        <w:rPr>
          <w:rFonts w:ascii="方正楷体_GBK" w:eastAsia="方正楷体_GBK"/>
          <w:sz w:val="28"/>
          <w:szCs w:val="28"/>
        </w:rPr>
        <w:t>中专</w:t>
      </w:r>
      <w:r>
        <w:rPr>
          <w:rFonts w:ascii="方正楷体_GBK" w:eastAsia="方正楷体_GBK" w:hint="eastAsia"/>
          <w:sz w:val="28"/>
          <w:szCs w:val="28"/>
        </w:rPr>
        <w:t>积极响应号召，组织艺术设计专业师生绘制了以西游为主题的两千米赛道，成为展示淮安城市形象及历史文化的网红赛道和青春靓丽的城市风景线，多家媒体争相报道。学生志愿者们在老师的带领下，发扬马拉松挑战自我、永不放弃的精神，用自己的专业技能和爱校热情投入到这次意义非凡的社会实践中来。有的同学为了运送材料晒伤了脸还笑称这是“阳光的印记”，有的同学已经腰酸背痛为了不影响团队的进度还在坚持作画，有的同学担心雨水会影响画作把伞都留给了油漆未干的路面……同学们通过这次亲身实践，不仅提升了自己的专业技能，更培养了创新思维、合作意识和家乡情怀，增强了集体荣誉感和城市归属感。</w:t>
      </w:r>
    </w:p>
    <w:p>
      <w:pPr>
        <w:snapToGrid w:val="0"/>
        <w:spacing w:line="560" w:lineRule="atLeast"/>
        <w:ind w:firstLineChars="800" w:firstLine="2560"/>
        <w:rPr>
          <w:rFonts w:ascii="Times New Roman" w:eastAsia="仿宋_GB2312" w:cs="仿宋_GB2312" w:hAnsi="Times New Roman"/>
          <w:sz w:val="24"/>
        </w:rPr>
      </w:pPr>
      <w:r>
        <w:rPr>
          <w:rFonts w:ascii="方正楷体_GBK" w:eastAsia="方正楷体_GBK" w:cs="仿宋_GB2312" w:hint="eastAsia"/>
          <w:color w:val="365F91"/>
          <w:sz w:val="32"/>
          <w:szCs w:val="32"/>
        </w:rPr>
        <w:drawing>
          <wp:anchor distT="0" distB="0" distL="114300" distR="114300" simplePos="0" relativeHeight="85" behindDoc="0" locked="0" layoutInCell="1" hidden="0" allowOverlap="1">
            <wp:simplePos x="0" y="0"/>
            <wp:positionH relativeFrom="column">
              <wp:posOffset>1565980</wp:posOffset>
            </wp:positionH>
            <wp:positionV relativeFrom="paragraph">
              <wp:posOffset>167280</wp:posOffset>
            </wp:positionV>
            <wp:extent cx="2784541" cy="1742027"/>
            <wp:effectExtent l="0" t="0" r="0" b="0"/>
            <wp:wrapNone/>
            <wp:docPr id="22" name="图片 16" descr="D:\360data\重要数据\桌面\质量报告素材\网红赛道2.jpg"/>
            <wp:cNvGraphicFramePr>
              <a:graphicFrameLocks noChangeAspect="1"/>
            </wp:cNvGraphicFramePr>
            <a:graphic>
              <a:graphicData uri="http://schemas.openxmlformats.org/drawingml/2006/picture">
                <pic:pic>
                  <pic:nvPicPr>
                    <pic:cNvPr id="24" name="图片 16 24"/>
                    <pic:cNvPicPr/>
                  </pic:nvPicPr>
                  <pic:blipFill>
                    <a:blip r:embed="rId20"/>
                    <a:stretch>
                      <a:fillRect/>
                    </a:stretch>
                  </pic:blipFill>
                  <pic:spPr>
                    <a:xfrm rot="0">
                      <a:off x="0" y="0"/>
                      <a:ext cx="2784541" cy="1742027"/>
                    </a:xfrm>
                    <a:prstGeom prst="rect"/>
                    <a:noFill/>
                    <a:ln w="9525" cmpd="sng" cap="flat">
                      <a:noFill/>
                      <a:prstDash val="solid"/>
                      <a:round/>
                    </a:ln>
                  </pic:spPr>
                </pic:pic>
              </a:graphicData>
            </a:graphic>
          </wp:anchor>
        </w:drawing>
      </w:r>
    </w:p>
    <w:p>
      <w:pPr>
        <w:snapToGrid w:val="0"/>
        <w:spacing w:line="560" w:lineRule="atLeast"/>
        <w:ind w:firstLineChars="800" w:firstLine="1920"/>
        <w:rPr>
          <w:rFonts w:ascii="Times New Roman" w:eastAsia="仿宋_GB2312" w:cs="仿宋_GB2312" w:hAnsi="Times New Roman"/>
          <w:sz w:val="24"/>
        </w:rPr>
      </w:pPr>
    </w:p>
    <w:p>
      <w:pPr>
        <w:snapToGrid w:val="0"/>
        <w:spacing w:line="560" w:lineRule="atLeast"/>
        <w:ind w:firstLineChars="800" w:firstLine="1920"/>
        <w:rPr>
          <w:rFonts w:ascii="Times New Roman" w:eastAsia="仿宋_GB2312" w:cs="仿宋_GB2312" w:hAnsi="Times New Roman"/>
          <w:sz w:val="24"/>
        </w:rPr>
      </w:pPr>
    </w:p>
    <w:p>
      <w:pPr>
        <w:snapToGrid w:val="0"/>
        <w:spacing w:line="560" w:lineRule="atLeast"/>
        <w:ind w:firstLineChars="800" w:firstLine="1920"/>
        <w:rPr>
          <w:rFonts w:ascii="Times New Roman" w:eastAsia="仿宋_GB2312" w:cs="仿宋_GB2312" w:hAnsi="Times New Roman"/>
          <w:sz w:val="24"/>
        </w:rPr>
      </w:pPr>
    </w:p>
    <w:p>
      <w:pPr>
        <w:snapToGrid w:val="0"/>
        <w:spacing w:line="560" w:lineRule="atLeast"/>
        <w:ind w:firstLineChars="800" w:firstLine="1920"/>
        <w:rPr>
          <w:rFonts w:ascii="Times New Roman" w:eastAsia="仿宋_GB2312" w:cs="仿宋_GB2312" w:hAnsi="Times New Roman"/>
          <w:sz w:val="24"/>
        </w:rPr>
      </w:pPr>
    </w:p>
    <w:p>
      <w:pPr>
        <w:snapToGrid w:val="0"/>
        <w:spacing w:line="560" w:lineRule="atLeast"/>
        <w:ind w:left="0"/>
        <w:jc w:val="center"/>
        <w:rPr>
          <w:rFonts w:ascii="Times New Roman" w:eastAsia="仿宋_GB2312" w:cs="仿宋_GB2312" w:hAnsi="Times New Roman"/>
          <w:sz w:val="24"/>
        </w:rPr>
      </w:pPr>
      <w:r>
        <w:rPr>
          <w:rFonts w:ascii="Times New Roman" w:eastAsia="仿宋_GB2312" w:cs="仿宋_GB2312" w:hAnsi="Times New Roman" w:hint="eastAsia"/>
          <w:sz w:val="24"/>
        </w:rPr>
        <w:t>图2-</w:t>
      </w:r>
      <w:r>
        <w:rPr>
          <w:rFonts w:ascii="Times New Roman" w:eastAsia="仿宋_GB2312" w:cs="仿宋_GB2312" w:hAnsi="Times New Roman"/>
          <w:sz w:val="24"/>
        </w:rPr>
        <w:t>6</w:t>
      </w:r>
      <w:r>
        <w:rPr>
          <w:rFonts w:ascii="Times New Roman" w:eastAsia="仿宋_GB2312" w:cs="仿宋_GB2312" w:hAnsi="Times New Roman" w:hint="eastAsia"/>
          <w:sz w:val="24"/>
        </w:rPr>
        <w:t>：淮安中等专业学校师生绘制“网红西游”跑道</w:t>
      </w:r>
    </w:p>
    <w:p>
      <w:pPr>
        <w:spacing w:line="500" w:lineRule="exact"/>
        <w:ind w:firstLineChars="200" w:firstLine="640"/>
        <w:outlineLvl w:val="1"/>
        <w:rPr>
          <w:rFonts w:ascii="仿宋_GB2312" w:eastAsia="仿宋_GB2312" w:cs="仿宋_GB2312"/>
          <w:b/>
          <w:bCs/>
          <w:color w:val="000000"/>
          <w:sz w:val="32"/>
          <w:szCs w:val="32"/>
        </w:rPr>
      </w:pPr>
      <w:bookmarkStart w:id="35" w:name="_Toc20988"/>
      <w:bookmarkStart w:id="36" w:name="_Toc12634_WPSOffice_Level2"/>
      <w:bookmarkStart w:id="37" w:name="_Toc17868"/>
      <w:bookmarkStart w:id="38" w:name="_Toc84605523"/>
      <w:bookmarkEnd w:id="30"/>
    </w:p>
    <w:p>
      <w:pPr>
        <w:spacing w:line="500" w:lineRule="exact"/>
        <w:ind w:firstLineChars="200" w:firstLine="640"/>
        <w:outlineLvl w:val="1"/>
        <w:rPr>
          <w:rFonts w:ascii="仿宋_GB2312" w:eastAsia="仿宋_GB2312" w:cs="仿宋_GB2312"/>
          <w:b/>
          <w:bCs/>
          <w:color w:val="000000"/>
          <w:sz w:val="32"/>
          <w:szCs w:val="32"/>
        </w:rPr>
      </w:pPr>
      <w:r>
        <w:rPr>
          <w:rFonts w:ascii="仿宋_GB2312" w:eastAsia="仿宋_GB2312" w:cs="仿宋_GB2312"/>
          <w:b/>
          <w:bCs/>
          <w:color w:val="000000"/>
          <w:sz w:val="32"/>
          <w:szCs w:val="32"/>
        </w:rPr>
        <w:t>2</w:t>
      </w:r>
      <w:r>
        <w:rPr>
          <w:rFonts w:ascii="仿宋_GB2312" w:eastAsia="仿宋_GB2312" w:cs="仿宋_GB2312" w:hint="eastAsia"/>
          <w:b/>
          <w:bCs/>
          <w:color w:val="000000"/>
          <w:sz w:val="32"/>
          <w:szCs w:val="32"/>
        </w:rPr>
        <w:t>.3就业质量</w:t>
      </w:r>
      <w:bookmarkEnd w:id="35"/>
      <w:bookmarkEnd w:id="36"/>
      <w:bookmarkEnd w:id="37"/>
      <w:bookmarkEnd w:id="38"/>
    </w:p>
    <w:p>
      <w:pPr>
        <w:pStyle w:val="18"/>
        <w:spacing w:line="500" w:lineRule="exact"/>
        <w:ind w:leftChars="0" w:left="0" w:firstLineChars="200" w:firstLine="640"/>
        <w:jc w:val="left"/>
        <w:rPr>
          <w:rFonts w:ascii="仿宋_GB2312" w:eastAsia="仿宋_GB2312" w:cs="仿宋_GB2312"/>
          <w:sz w:val="32"/>
          <w:szCs w:val="32"/>
        </w:rPr>
      </w:pPr>
      <w:bookmarkStart w:id="39" w:name="_Toc23774"/>
      <w:r>
        <w:rPr>
          <w:rFonts w:ascii="仿宋_GB2312" w:eastAsia="仿宋_GB2312" w:cs="仿宋_GB2312"/>
          <w:sz w:val="32"/>
          <w:szCs w:val="32"/>
        </w:rPr>
        <w:t>2021年，全市中职学校毕业学生数11207人，就业学生数</w:t>
      </w:r>
    </w:p>
    <w:p>
      <w:pPr>
        <w:pStyle w:val="18"/>
        <w:spacing w:line="500" w:lineRule="exact"/>
        <w:ind w:leftChars="0" w:left="0"/>
        <w:jc w:val="left"/>
        <w:rPr>
          <w:rFonts w:ascii="仿宋_GB2312" w:eastAsia="仿宋_GB2312" w:cs="仿宋_GB2312"/>
          <w:sz w:val="32"/>
          <w:szCs w:val="32"/>
        </w:rPr>
      </w:pPr>
      <w:r>
        <w:rPr>
          <w:rFonts w:ascii="仿宋_GB2312" w:eastAsia="仿宋_GB2312" w:cs="仿宋_GB2312"/>
          <w:sz w:val="32"/>
          <w:szCs w:val="32"/>
        </w:rPr>
        <w:drawing>
          <wp:anchor distT="0" distB="0" distL="114300" distR="114300" simplePos="0" relativeHeight="87" behindDoc="0" locked="0" layoutInCell="1" hidden="0" allowOverlap="1">
            <wp:simplePos x="0" y="0"/>
            <wp:positionH relativeFrom="column">
              <wp:posOffset>1369769</wp:posOffset>
            </wp:positionH>
            <wp:positionV relativeFrom="paragraph">
              <wp:posOffset>1211656</wp:posOffset>
            </wp:positionV>
            <wp:extent cx="2952750" cy="2395853"/>
            <wp:effectExtent l="0" t="0" r="0" b="0"/>
            <wp:wrapNone/>
            <wp:docPr id="25" name="图表 15"/>
            <wp:cNvGraphicFramePr>
              <a:graphicFrameLocks noChangeAspect="0"/>
            </wp:cNvGraphicFramePr>
            <a:graphic>
              <a:graphicData uri="http://schemas.openxmlformats.org/drawingml/2006/chart">
                <c:chart xmlns:c="http://schemas.openxmlformats.org/drawingml/2006/chart" r:id="rId21"/>
              </a:graphicData>
            </a:graphic>
          </wp:anchor>
        </w:drawing>
      </w:r>
      <w:r>
        <w:rPr>
          <w:rFonts w:ascii="仿宋_GB2312" w:eastAsia="仿宋_GB2312" w:cs="仿宋_GB2312"/>
          <w:sz w:val="32"/>
          <w:szCs w:val="32"/>
        </w:rPr>
        <w:t>11180人，就业率99.8%；直接就业人数3117人，直接就业率28％。在就业学生中，升入高一级学校人数为8063人，占毕业学生比例为72%，较往年有所提高。</w:t>
      </w:r>
    </w:p>
    <w:p>
      <w:pPr>
        <w:spacing w:line="560" w:lineRule="exact"/>
        <w:ind w:firstLineChars="300" w:firstLine="960"/>
        <w:rPr>
          <w:rFonts w:ascii="仿宋_GB2312" w:eastAsia="仿宋_GB2312" w:cs="仿宋_GB2312"/>
          <w:sz w:val="32"/>
          <w:szCs w:val="32"/>
        </w:rPr>
      </w:pPr>
    </w:p>
    <w:p>
      <w:pPr>
        <w:spacing w:line="560" w:lineRule="exact"/>
        <w:ind w:firstLineChars="300" w:firstLine="960"/>
        <w:rPr>
          <w:rFonts w:ascii="仿宋_GB2312" w:eastAsia="仿宋_GB2312" w:cs="仿宋_GB2312"/>
          <w:sz w:val="32"/>
          <w:szCs w:val="32"/>
        </w:rPr>
      </w:pPr>
    </w:p>
    <w:p>
      <w:pPr>
        <w:pStyle w:val="18"/>
      </w:pPr>
    </w:p>
    <w:p/>
    <w:p>
      <w:pPr>
        <w:pStyle w:val="18"/>
      </w:pPr>
    </w:p>
    <w:p/>
    <w:p>
      <w:pPr>
        <w:pStyle w:val="18"/>
      </w:pPr>
    </w:p>
    <w:p/>
    <w:p>
      <w:pPr>
        <w:jc w:val="center"/>
        <w:rPr>
          <w:rFonts w:ascii="Times New Roman" w:eastAsia="仿宋_GB2312" w:cs="仿宋_GB2312" w:hAnsi="Times New Roman"/>
          <w:sz w:val="24"/>
        </w:rPr>
      </w:pPr>
    </w:p>
    <w:p>
      <w:pPr>
        <w:jc w:val="center"/>
        <w:rPr>
          <w:rFonts w:ascii="Times New Roman" w:eastAsia="仿宋_GB2312" w:cs="仿宋_GB2312" w:hAnsi="Times New Roman"/>
          <w:sz w:val="24"/>
        </w:rPr>
      </w:pPr>
      <w:r>
        <w:rPr>
          <w:rFonts w:ascii="Times New Roman" w:eastAsia="仿宋_GB2312" w:cs="仿宋_GB2312" w:hAnsi="Times New Roman" w:hint="eastAsia"/>
          <w:sz w:val="24"/>
        </w:rPr>
        <w:t>图</w:t>
      </w:r>
      <w:r>
        <w:rPr>
          <w:rFonts w:ascii="Times New Roman" w:eastAsia="仿宋_GB2312" w:cs="仿宋_GB2312" w:hAnsi="Times New Roman"/>
          <w:sz w:val="24"/>
        </w:rPr>
        <w:t>2-7</w:t>
      </w:r>
      <w:r>
        <w:rPr>
          <w:rFonts w:ascii="Times New Roman" w:eastAsia="仿宋_GB2312" w:cs="仿宋_GB2312" w:hAnsi="Times New Roman" w:hint="eastAsia"/>
          <w:sz w:val="24"/>
        </w:rPr>
        <w:t>：</w:t>
      </w:r>
      <w:r>
        <w:rPr>
          <w:rFonts w:ascii="Times New Roman" w:eastAsia="仿宋_GB2312" w:cs="仿宋_GB2312" w:hAnsi="Times New Roman"/>
          <w:sz w:val="24"/>
        </w:rPr>
        <w:t xml:space="preserve"> 2021</w:t>
      </w:r>
      <w:r>
        <w:rPr>
          <w:rFonts w:ascii="Times New Roman" w:eastAsia="仿宋_GB2312" w:cs="仿宋_GB2312" w:hAnsi="Times New Roman" w:hint="eastAsia"/>
          <w:sz w:val="24"/>
        </w:rPr>
        <w:t>年就业情况图</w:t>
      </w:r>
    </w:p>
    <w:p>
      <w:pPr>
        <w:spacing w:line="560" w:lineRule="exact"/>
        <w:ind w:firstLineChars="300" w:firstLine="960"/>
        <w:rPr>
          <w:rFonts w:ascii="仿宋_GB2312" w:eastAsia="仿宋_GB2312" w:cs="仿宋_GB2312"/>
          <w:sz w:val="32"/>
          <w:szCs w:val="32"/>
        </w:rPr>
      </w:pPr>
      <w:r>
        <w:rPr>
          <w:rFonts w:ascii="仿宋_GB2312" w:eastAsia="仿宋_GB2312" w:cs="仿宋_GB2312"/>
          <w:sz w:val="32"/>
          <w:szCs w:val="32"/>
        </w:rPr>
        <w:t>2021年就业学生中平均起薪3115元，较2020年有了大幅度提升。</w:t>
      </w:r>
    </w:p>
    <w:p>
      <w:pPr>
        <w:pStyle w:val="18"/>
        <w:ind w:firstLineChars="700" w:firstLine="1680"/>
        <w:rPr>
          <w:rFonts w:eastAsia="仿宋_GB2312" w:cs="仿宋_GB2312"/>
        </w:rPr>
      </w:pPr>
      <w:r>
        <w:rPr>
          <w:rFonts w:hint="eastAsia"/>
        </w:rPr>
        <w:drawing>
          <wp:anchor distT="0" distB="0" distL="114300" distR="114300" simplePos="0" relativeHeight="89" behindDoc="0" locked="0" layoutInCell="1" hidden="0" allowOverlap="1">
            <wp:simplePos x="0" y="0"/>
            <wp:positionH relativeFrom="column">
              <wp:posOffset>1252187</wp:posOffset>
            </wp:positionH>
            <wp:positionV relativeFrom="paragraph">
              <wp:posOffset>130130</wp:posOffset>
            </wp:positionV>
            <wp:extent cx="3676593" cy="2442121"/>
            <wp:effectExtent l="0" t="0" r="0" b="0"/>
            <wp:wrapTopAndBottom/>
            <wp:docPr id="26" name="图表 17"/>
            <wp:cNvGraphicFramePr>
              <a:graphicFrameLocks noChangeAspect="0"/>
            </wp:cNvGraphicFramePr>
            <a:graphic>
              <a:graphicData uri="http://schemas.openxmlformats.org/drawingml/2006/chart">
                <c:chart xmlns:c="http://schemas.openxmlformats.org/drawingml/2006/chart" r:id="rId22"/>
              </a:graphicData>
            </a:graphic>
          </wp:anchor>
        </w:drawing>
      </w:r>
      <w:r>
        <w:rPr>
          <w:rFonts w:eastAsia="仿宋_GB2312" w:cs="仿宋_GB2312" w:hint="eastAsia"/>
        </w:rPr>
        <w:t>图</w:t>
      </w:r>
      <w:r>
        <w:rPr>
          <w:rFonts w:eastAsia="仿宋_GB2312" w:cs="仿宋_GB2312"/>
        </w:rPr>
        <w:t>2-8</w:t>
      </w:r>
      <w:r>
        <w:rPr>
          <w:rFonts w:eastAsia="仿宋_GB2312" w:cs="仿宋_GB2312" w:hint="eastAsia"/>
        </w:rPr>
        <w:t>：</w:t>
      </w:r>
      <w:r>
        <w:rPr>
          <w:rFonts w:eastAsia="仿宋_GB2312" w:cs="仿宋_GB2312"/>
        </w:rPr>
        <w:t xml:space="preserve"> 2020</w:t>
      </w:r>
      <w:r>
        <w:rPr>
          <w:rFonts w:eastAsia="仿宋_GB2312" w:cs="仿宋_GB2312" w:hint="eastAsia"/>
        </w:rPr>
        <w:t>、</w:t>
      </w:r>
      <w:r>
        <w:rPr>
          <w:rFonts w:eastAsia="仿宋_GB2312" w:cs="仿宋_GB2312"/>
        </w:rPr>
        <w:t>2021</w:t>
      </w:r>
      <w:r>
        <w:rPr>
          <w:rFonts w:eastAsia="仿宋_GB2312" w:cs="仿宋_GB2312" w:hint="eastAsia"/>
        </w:rPr>
        <w:t>年学生平均起薪对比图</w:t>
      </w:r>
    </w:p>
    <w:p>
      <w:pPr>
        <w:spacing w:line="560" w:lineRule="exact"/>
        <w:jc w:val="center"/>
        <w:rPr>
          <w:rFonts w:ascii="Times New Roman" w:eastAsia="仿宋_GB2312" w:cs="仿宋_GB2312" w:hAnsi="Times New Roman"/>
          <w:sz w:val="24"/>
        </w:rPr>
      </w:pPr>
    </w:p>
    <w:p>
      <w:pPr>
        <w:spacing w:line="560" w:lineRule="exact"/>
        <w:jc w:val="center"/>
        <w:rPr>
          <w:rFonts w:ascii="Times New Roman" w:eastAsia="仿宋_GB2312" w:cs="仿宋_GB2312" w:hAnsi="Times New Roman"/>
          <w:sz w:val="24"/>
        </w:rPr>
      </w:pPr>
    </w:p>
    <w:p>
      <w:pPr>
        <w:spacing w:line="560" w:lineRule="exact"/>
        <w:jc w:val="center"/>
        <w:rPr>
          <w:rFonts w:ascii="Times New Roman" w:eastAsia="仿宋_GB2312" w:cs="仿宋_GB2312" w:hAnsi="Times New Roman"/>
          <w:sz w:val="24"/>
        </w:rPr>
      </w:pPr>
    </w:p>
    <w:p>
      <w:pPr>
        <w:spacing w:line="560" w:lineRule="exact"/>
        <w:jc w:val="center"/>
        <w:rPr>
          <w:rFonts w:ascii="Times New Roman" w:eastAsia="仿宋_GB2312" w:cs="仿宋_GB2312" w:hAnsi="Times New Roman"/>
          <w:sz w:val="24"/>
          <w:lang w:val="en-US" w:eastAsia="zh-CN"/>
        </w:rPr>
      </w:pPr>
      <w:r>
        <w:rPr>
          <w:rFonts w:ascii="Times New Roman" w:eastAsia="仿宋_GB2312" w:cs="仿宋_GB2312" w:hAnsi="Times New Roman" w:hint="eastAsia"/>
          <w:sz w:val="24"/>
        </w:rPr>
        <w:t>表2-1 2019-2020、2020-2021学年中职毕业生就业情况</w:t>
      </w:r>
    </w:p>
    <w:tbl>
      <w:tblPr>
        <w:jc w:val="center"/>
        <w:tblW w:w="7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23"/>
        <w:gridCol w:w="2479"/>
        <w:gridCol w:w="1928"/>
        <w:gridCol w:w="1928"/>
      </w:tblGrid>
      <w:tr>
        <w:trPr>
          <w:trHeight w:val="640"/>
        </w:trPr>
        <w:tc>
          <w:tcPr>
            <w:tcW w:w="923" w:type="dxa"/>
            <w:tcBorders>
              <w:top w:val="single" w:sz="8" w:space="0" w:color="4BACC6"/>
              <w:left w:val="single" w:sz="8" w:space="0" w:color="4BACC6"/>
              <w:bottom w:val="single" w:sz="18" w:space="0" w:color="FFFFFF"/>
              <w:right w:val="single" w:sz="4" w:space="0" w:color="FFFFFF"/>
            </w:tcBorders>
            <w:shd w:val="clear" w:color="auto" w:fill="4BACC6"/>
            <w:noWrap/>
            <w:vAlign w:val="center"/>
          </w:tcPr>
          <w:p>
            <w:pPr>
              <w:jc w:val="center"/>
              <w:rPr>
                <w:rFonts w:ascii="宋体" w:cs="宋体"/>
                <w:b/>
                <w:color w:val="FFFFFF"/>
                <w:szCs w:val="21"/>
              </w:rPr>
            </w:pPr>
            <w:r>
              <w:rPr>
                <w:rFonts w:ascii="宋体" w:cs="宋体" w:hint="eastAsia"/>
                <w:b/>
                <w:color w:val="FFFFFF"/>
                <w:szCs w:val="21"/>
              </w:rPr>
              <w:t>序号</w:t>
            </w:r>
          </w:p>
        </w:tc>
        <w:tc>
          <w:tcPr>
            <w:tcW w:w="2479" w:type="dxa"/>
            <w:tcBorders>
              <w:top w:val="single" w:sz="8" w:space="0" w:color="4BACC6"/>
              <w:left w:val="single" w:sz="4" w:space="0" w:color="FFFFFF"/>
              <w:bottom w:val="single" w:sz="18" w:space="0" w:color="FFFFFF"/>
              <w:right w:val="single" w:sz="4" w:space="0" w:color="FFFFFF"/>
            </w:tcBorders>
            <w:shd w:val="clear" w:color="auto" w:fill="4BACC6"/>
            <w:noWrap/>
            <w:vAlign w:val="center"/>
          </w:tcPr>
          <w:p>
            <w:pPr>
              <w:jc w:val="center"/>
              <w:rPr>
                <w:rFonts w:ascii="宋体" w:cs="宋体"/>
                <w:b/>
                <w:color w:val="FFFFFF"/>
                <w:szCs w:val="21"/>
              </w:rPr>
            </w:pPr>
            <w:r>
              <w:rPr>
                <w:rFonts w:ascii="宋体" w:cs="宋体" w:hint="eastAsia"/>
                <w:b/>
                <w:color w:val="FFFFFF"/>
                <w:szCs w:val="21"/>
              </w:rPr>
              <w:t>指标名称</w:t>
            </w:r>
          </w:p>
        </w:tc>
        <w:tc>
          <w:tcPr>
            <w:tcW w:w="1928" w:type="dxa"/>
            <w:tcBorders>
              <w:top w:val="single" w:sz="8" w:space="0" w:color="4BACC6"/>
              <w:left w:val="single" w:sz="4" w:space="0" w:color="FFFFFF"/>
              <w:bottom w:val="single" w:sz="18" w:space="0" w:color="FFFFFF"/>
              <w:right w:val="single" w:sz="4" w:space="0" w:color="FFFFFF"/>
            </w:tcBorders>
            <w:shd w:val="clear" w:color="auto" w:fill="4BACC6"/>
            <w:noWrap/>
            <w:vAlign w:val="center"/>
          </w:tcPr>
          <w:p>
            <w:pPr>
              <w:jc w:val="center"/>
              <w:rPr>
                <w:rFonts w:ascii="宋体" w:cs="宋体"/>
                <w:b/>
                <w:color w:val="FFFFFF"/>
                <w:szCs w:val="21"/>
              </w:rPr>
            </w:pPr>
            <w:r>
              <w:rPr>
                <w:rFonts w:ascii="宋体" w:cs="宋体" w:hint="eastAsia"/>
                <w:b/>
                <w:color w:val="FFFFFF"/>
                <w:szCs w:val="21"/>
              </w:rPr>
              <w:t>2019-2020学年</w:t>
            </w:r>
          </w:p>
        </w:tc>
        <w:tc>
          <w:tcPr>
            <w:tcW w:w="1928" w:type="dxa"/>
            <w:tcBorders>
              <w:top w:val="single" w:sz="8" w:space="0" w:color="4BACC6"/>
              <w:left w:val="single" w:sz="4" w:space="0" w:color="FFFFFF"/>
              <w:bottom w:val="single" w:sz="18" w:space="0" w:color="FFFFFF"/>
              <w:right w:val="single" w:sz="4" w:space="0" w:color="FFFFFF"/>
            </w:tcBorders>
            <w:shd w:val="clear" w:color="auto" w:fill="4BACC6"/>
            <w:noWrap/>
            <w:vAlign w:val="center"/>
          </w:tcPr>
          <w:p>
            <w:pPr>
              <w:jc w:val="center"/>
              <w:rPr>
                <w:rFonts w:ascii="宋体" w:cs="宋体"/>
                <w:b/>
                <w:color w:val="FFFFFF"/>
                <w:szCs w:val="21"/>
              </w:rPr>
            </w:pPr>
            <w:r>
              <w:rPr>
                <w:rFonts w:ascii="宋体" w:cs="宋体" w:hint="eastAsia"/>
                <w:b/>
                <w:color w:val="FFFFFF"/>
                <w:szCs w:val="21"/>
              </w:rPr>
              <w:t>2020-2021学年</w:t>
            </w:r>
          </w:p>
        </w:tc>
      </w:tr>
      <w:tr>
        <w:trPr>
          <w:trHeight w:val="329"/>
        </w:trPr>
        <w:tc>
          <w:tcPr>
            <w:tcW w:w="923" w:type="dxa"/>
            <w:tcBorders>
              <w:top w:val="single" w:sz="18" w:space="0" w:color="FFFFFF"/>
              <w:left w:val="single" w:sz="8" w:space="0" w:color="4BACC6"/>
              <w:bottom w:val="single" w:sz="8" w:space="0" w:color="4BACC6"/>
              <w:right w:val="single" w:sz="8" w:space="0" w:color="4BACC6"/>
            </w:tcBorders>
            <w:shd w:val="clear" w:color="auto" w:fill="B7DDE8"/>
            <w:noWrap/>
            <w:vAlign w:val="center"/>
          </w:tcPr>
          <w:p>
            <w:pPr>
              <w:jc w:val="center"/>
              <w:rPr>
                <w:rFonts w:ascii="宋体" w:cs="宋体"/>
                <w:color w:val="000000"/>
                <w:szCs w:val="21"/>
              </w:rPr>
            </w:pPr>
            <w:r>
              <w:rPr>
                <w:rFonts w:ascii="宋体" w:cs="宋体" w:hint="eastAsia"/>
                <w:color w:val="000000"/>
                <w:szCs w:val="21"/>
              </w:rPr>
              <w:t>1</w:t>
            </w:r>
          </w:p>
        </w:tc>
        <w:tc>
          <w:tcPr>
            <w:tcW w:w="2479" w:type="dxa"/>
            <w:tcBorders>
              <w:top w:val="single" w:sz="18" w:space="0" w:color="FFFFFF"/>
              <w:left w:val="single" w:sz="8" w:space="0" w:color="4BACC6"/>
              <w:bottom w:val="single" w:sz="8" w:space="0" w:color="4BACC6"/>
              <w:right w:val="single" w:sz="8" w:space="0" w:color="4BACC6"/>
            </w:tcBorders>
            <w:shd w:val="clear" w:color="auto" w:fill="B7DDE8"/>
            <w:noWrap/>
            <w:vAlign w:val="center"/>
          </w:tcPr>
          <w:p>
            <w:pPr>
              <w:widowControl/>
              <w:jc w:val="left"/>
              <w:textAlignment w:val="center"/>
              <w:rPr>
                <w:rFonts w:ascii="宋体" w:cs="宋体"/>
                <w:color w:val="000000"/>
                <w:sz w:val="24"/>
              </w:rPr>
            </w:pPr>
            <w:r>
              <w:rPr>
                <w:rFonts w:ascii="仿宋" w:eastAsia="仿宋" w:cs="仿宋" w:hint="eastAsia"/>
                <w:color w:val="000000"/>
                <w:kern w:val="0"/>
                <w:sz w:val="22"/>
                <w:szCs w:val="22"/>
              </w:rPr>
              <w:t>就业人数</w:t>
            </w:r>
          </w:p>
        </w:tc>
        <w:tc>
          <w:tcPr>
            <w:tcW w:w="1928" w:type="dxa"/>
            <w:tcBorders>
              <w:top w:val="single" w:sz="18" w:space="0" w:color="FFFFFF"/>
              <w:left w:val="single" w:sz="8" w:space="0" w:color="4BACC6"/>
              <w:bottom w:val="single" w:sz="8" w:space="0" w:color="4BACC6"/>
              <w:right w:val="single" w:sz="8" w:space="0" w:color="4BACC6"/>
            </w:tcBorders>
            <w:shd w:val="clear" w:color="auto" w:fill="B7DDE8"/>
            <w:noWrap/>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10940</w:t>
            </w:r>
          </w:p>
        </w:tc>
        <w:tc>
          <w:tcPr>
            <w:tcW w:w="1928" w:type="dxa"/>
            <w:tcBorders>
              <w:top w:val="single" w:sz="18" w:space="0" w:color="FFFFFF"/>
              <w:left w:val="single" w:sz="8" w:space="0" w:color="4BACC6"/>
              <w:bottom w:val="single" w:sz="8" w:space="0" w:color="4BACC6"/>
              <w:right w:val="single" w:sz="8" w:space="0" w:color="4BACC6"/>
            </w:tcBorders>
            <w:shd w:val="clear" w:color="auto" w:fill="B7DDE8"/>
            <w:noWrap/>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10845</w:t>
            </w:r>
          </w:p>
        </w:tc>
      </w:tr>
      <w:tr>
        <w:trPr>
          <w:trHeight w:val="632"/>
        </w:trPr>
        <w:tc>
          <w:tcPr>
            <w:tcW w:w="923"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jc w:val="center"/>
              <w:rPr>
                <w:rFonts w:ascii="宋体" w:cs="宋体"/>
                <w:color w:val="000000"/>
                <w:szCs w:val="21"/>
              </w:rPr>
            </w:pPr>
            <w:r>
              <w:rPr>
                <w:rFonts w:ascii="宋体" w:cs="宋体" w:hint="eastAsia"/>
                <w:color w:val="000000"/>
                <w:szCs w:val="21"/>
              </w:rPr>
              <w:t>2</w:t>
            </w:r>
          </w:p>
        </w:tc>
        <w:tc>
          <w:tcPr>
            <w:tcW w:w="2479"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jc w:val="left"/>
              <w:textAlignment w:val="center"/>
              <w:rPr>
                <w:rFonts w:ascii="宋体" w:cs="宋体"/>
                <w:color w:val="000000"/>
                <w:sz w:val="24"/>
              </w:rPr>
            </w:pPr>
            <w:r>
              <w:rPr>
                <w:rFonts w:ascii="仿宋" w:eastAsia="仿宋" w:cs="仿宋" w:hint="eastAsia"/>
                <w:color w:val="000000"/>
                <w:kern w:val="0"/>
                <w:sz w:val="22"/>
                <w:szCs w:val="22"/>
              </w:rPr>
              <w:t>在规模以上企业就业人数</w:t>
            </w:r>
          </w:p>
        </w:tc>
        <w:tc>
          <w:tcPr>
            <w:tcW w:w="1928"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jc w:val="center"/>
              <w:textAlignment w:val="center"/>
              <w:rPr>
                <w:rFonts w:ascii="宋体" w:cs="宋体"/>
                <w:color w:val="000000"/>
                <w:szCs w:val="21"/>
              </w:rPr>
            </w:pPr>
            <w:r>
              <w:rPr>
                <w:rFonts w:ascii="宋体" w:cs="宋体"/>
                <w:color w:val="000000"/>
                <w:szCs w:val="21"/>
              </w:rPr>
              <w:t>36.02%</w:t>
            </w:r>
          </w:p>
        </w:tc>
        <w:tc>
          <w:tcPr>
            <w:tcW w:w="1928"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jc w:val="center"/>
              <w:textAlignment w:val="center"/>
              <w:rPr>
                <w:rFonts w:ascii="宋体" w:cs="宋体"/>
                <w:color w:val="000000"/>
                <w:szCs w:val="21"/>
              </w:rPr>
            </w:pPr>
            <w:r>
              <w:rPr>
                <w:rFonts w:ascii="宋体" w:cs="宋体"/>
                <w:color w:val="000000"/>
                <w:kern w:val="0"/>
                <w:sz w:val="22"/>
                <w:szCs w:val="22"/>
              </w:rPr>
              <w:t>32.40%</w:t>
            </w:r>
          </w:p>
        </w:tc>
      </w:tr>
      <w:tr>
        <w:trPr>
          <w:trHeight w:val="632"/>
        </w:trPr>
        <w:tc>
          <w:tcPr>
            <w:tcW w:w="923"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jc w:val="center"/>
              <w:rPr>
                <w:rFonts w:ascii="宋体" w:cs="宋体"/>
                <w:color w:val="000000"/>
                <w:szCs w:val="21"/>
              </w:rPr>
            </w:pPr>
            <w:r>
              <w:rPr>
                <w:rFonts w:ascii="宋体" w:cs="宋体" w:hint="eastAsia"/>
                <w:color w:val="000000"/>
                <w:szCs w:val="21"/>
              </w:rPr>
              <w:t>3</w:t>
            </w:r>
          </w:p>
        </w:tc>
        <w:tc>
          <w:tcPr>
            <w:tcW w:w="2479"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jc w:val="left"/>
              <w:textAlignment w:val="center"/>
              <w:rPr>
                <w:rFonts w:ascii="宋体" w:cs="宋体"/>
                <w:color w:val="000000"/>
                <w:sz w:val="24"/>
              </w:rPr>
            </w:pPr>
            <w:r>
              <w:rPr>
                <w:rFonts w:ascii="仿宋" w:eastAsia="仿宋" w:cs="仿宋" w:hint="eastAsia"/>
                <w:color w:val="000000"/>
                <w:kern w:val="0"/>
                <w:sz w:val="22"/>
                <w:szCs w:val="22"/>
              </w:rPr>
              <w:t>在中小微企业就业人数</w:t>
            </w:r>
          </w:p>
        </w:tc>
        <w:tc>
          <w:tcPr>
            <w:tcW w:w="1928"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jc w:val="center"/>
              <w:textAlignment w:val="center"/>
              <w:rPr>
                <w:rFonts w:ascii="宋体" w:cs="宋体"/>
                <w:color w:val="000000"/>
                <w:szCs w:val="21"/>
              </w:rPr>
            </w:pPr>
            <w:r>
              <w:rPr>
                <w:rFonts w:ascii="宋体" w:cs="宋体"/>
                <w:color w:val="000000"/>
                <w:kern w:val="0"/>
                <w:sz w:val="22"/>
                <w:szCs w:val="22"/>
              </w:rPr>
              <w:t>11.71%</w:t>
            </w:r>
          </w:p>
        </w:tc>
        <w:tc>
          <w:tcPr>
            <w:tcW w:w="1928"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jc w:val="center"/>
              <w:textAlignment w:val="center"/>
              <w:rPr>
                <w:rFonts w:ascii="宋体" w:cs="宋体"/>
                <w:color w:val="000000"/>
                <w:szCs w:val="21"/>
              </w:rPr>
            </w:pPr>
            <w:r>
              <w:rPr>
                <w:rFonts w:ascii="宋体" w:cs="宋体"/>
                <w:color w:val="000000"/>
                <w:kern w:val="0"/>
                <w:sz w:val="22"/>
                <w:szCs w:val="22"/>
              </w:rPr>
              <w:t>10.00%</w:t>
            </w:r>
          </w:p>
        </w:tc>
      </w:tr>
      <w:tr>
        <w:trPr>
          <w:trHeight w:val="632"/>
        </w:trPr>
        <w:tc>
          <w:tcPr>
            <w:tcW w:w="923"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jc w:val="center"/>
              <w:rPr>
                <w:rFonts w:ascii="宋体" w:cs="宋体"/>
                <w:color w:val="000000"/>
                <w:szCs w:val="21"/>
              </w:rPr>
            </w:pPr>
            <w:r>
              <w:rPr>
                <w:rFonts w:ascii="宋体" w:cs="宋体" w:hint="eastAsia"/>
                <w:color w:val="000000"/>
                <w:szCs w:val="21"/>
              </w:rPr>
              <w:t>4</w:t>
            </w:r>
          </w:p>
        </w:tc>
        <w:tc>
          <w:tcPr>
            <w:tcW w:w="2479"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jc w:val="left"/>
              <w:textAlignment w:val="center"/>
              <w:rPr>
                <w:rFonts w:ascii="宋体" w:cs="宋体"/>
                <w:color w:val="000000"/>
                <w:sz w:val="24"/>
              </w:rPr>
            </w:pPr>
            <w:r>
              <w:rPr>
                <w:rFonts w:ascii="仿宋" w:eastAsia="仿宋" w:cs="仿宋" w:hint="eastAsia"/>
                <w:color w:val="000000"/>
                <w:kern w:val="0"/>
                <w:sz w:val="22"/>
                <w:szCs w:val="22"/>
              </w:rPr>
              <w:t>毕业生专业对口就业人数</w:t>
            </w:r>
          </w:p>
        </w:tc>
        <w:tc>
          <w:tcPr>
            <w:tcW w:w="1928"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jc w:val="center"/>
              <w:textAlignment w:val="center"/>
              <w:rPr>
                <w:rFonts w:ascii="宋体" w:cs="宋体"/>
                <w:color w:val="000000"/>
                <w:szCs w:val="21"/>
              </w:rPr>
            </w:pPr>
            <w:r>
              <w:rPr>
                <w:rFonts w:ascii="宋体" w:cs="宋体"/>
                <w:color w:val="000000"/>
                <w:kern w:val="0"/>
                <w:sz w:val="22"/>
                <w:szCs w:val="22"/>
              </w:rPr>
              <w:t>68%</w:t>
            </w:r>
          </w:p>
        </w:tc>
        <w:tc>
          <w:tcPr>
            <w:tcW w:w="1928"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jc w:val="center"/>
              <w:textAlignment w:val="center"/>
              <w:rPr>
                <w:rFonts w:ascii="宋体" w:cs="宋体"/>
                <w:color w:val="000000"/>
                <w:szCs w:val="21"/>
              </w:rPr>
            </w:pPr>
            <w:r>
              <w:rPr>
                <w:rFonts w:ascii="宋体" w:cs="宋体"/>
                <w:color w:val="000000"/>
                <w:kern w:val="0"/>
                <w:sz w:val="22"/>
                <w:szCs w:val="22"/>
              </w:rPr>
              <w:t>62%</w:t>
            </w:r>
          </w:p>
        </w:tc>
      </w:tr>
      <w:tr>
        <w:trPr>
          <w:trHeight w:val="627"/>
        </w:trPr>
        <w:tc>
          <w:tcPr>
            <w:tcW w:w="923"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jc w:val="center"/>
              <w:rPr>
                <w:rFonts w:ascii="宋体" w:cs="宋体"/>
                <w:color w:val="000000"/>
                <w:szCs w:val="21"/>
              </w:rPr>
            </w:pPr>
            <w:r>
              <w:rPr>
                <w:rFonts w:ascii="宋体" w:cs="宋体" w:hint="eastAsia"/>
                <w:color w:val="000000"/>
                <w:szCs w:val="21"/>
              </w:rPr>
              <w:t>5</w:t>
            </w:r>
          </w:p>
        </w:tc>
        <w:tc>
          <w:tcPr>
            <w:tcW w:w="2479"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jc w:val="left"/>
              <w:textAlignment w:val="center"/>
              <w:rPr>
                <w:rFonts w:ascii="宋体" w:cs="宋体"/>
                <w:color w:val="000000"/>
                <w:sz w:val="24"/>
              </w:rPr>
            </w:pPr>
            <w:r>
              <w:rPr>
                <w:rFonts w:ascii="仿宋" w:eastAsia="仿宋" w:cs="仿宋" w:hint="eastAsia"/>
                <w:color w:val="000000"/>
                <w:kern w:val="0"/>
                <w:sz w:val="22"/>
                <w:szCs w:val="22"/>
              </w:rPr>
              <w:t>初次就业平均月收入</w:t>
            </w:r>
          </w:p>
        </w:tc>
        <w:tc>
          <w:tcPr>
            <w:tcW w:w="1928"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2060.4</w:t>
            </w:r>
          </w:p>
        </w:tc>
        <w:tc>
          <w:tcPr>
            <w:tcW w:w="1928"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3115</w:t>
            </w:r>
          </w:p>
        </w:tc>
      </w:tr>
      <w:tr>
        <w:trPr>
          <w:trHeight w:val="349"/>
        </w:trPr>
        <w:tc>
          <w:tcPr>
            <w:tcW w:w="923"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jc w:val="center"/>
              <w:rPr>
                <w:rFonts w:ascii="宋体" w:cs="宋体"/>
                <w:color w:val="000000"/>
                <w:szCs w:val="21"/>
              </w:rPr>
            </w:pPr>
            <w:r>
              <w:rPr>
                <w:rFonts w:ascii="宋体" w:cs="宋体" w:hint="eastAsia"/>
                <w:color w:val="000000"/>
                <w:szCs w:val="21"/>
              </w:rPr>
              <w:t>6</w:t>
            </w:r>
          </w:p>
        </w:tc>
        <w:tc>
          <w:tcPr>
            <w:tcW w:w="2479"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jc w:val="left"/>
              <w:textAlignment w:val="center"/>
              <w:rPr>
                <w:rFonts w:ascii="宋体" w:cs="宋体"/>
                <w:color w:val="000000"/>
                <w:sz w:val="24"/>
              </w:rPr>
            </w:pPr>
            <w:r>
              <w:rPr>
                <w:rFonts w:ascii="仿宋" w:eastAsia="仿宋" w:cs="仿宋" w:hint="eastAsia"/>
                <w:color w:val="000000"/>
                <w:kern w:val="0"/>
                <w:sz w:val="22"/>
                <w:szCs w:val="22"/>
              </w:rPr>
              <w:t>毕业生创业人数</w:t>
            </w:r>
          </w:p>
        </w:tc>
        <w:tc>
          <w:tcPr>
            <w:tcW w:w="1928"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423</w:t>
            </w:r>
          </w:p>
        </w:tc>
        <w:tc>
          <w:tcPr>
            <w:tcW w:w="1928"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28</w:t>
            </w:r>
          </w:p>
        </w:tc>
      </w:tr>
      <w:tr>
        <w:trPr>
          <w:trHeight w:val="349"/>
        </w:trPr>
        <w:tc>
          <w:tcPr>
            <w:tcW w:w="923"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jc w:val="center"/>
              <w:rPr>
                <w:rFonts w:ascii="宋体" w:cs="宋体"/>
                <w:color w:val="000000"/>
                <w:szCs w:val="21"/>
              </w:rPr>
            </w:pPr>
            <w:r>
              <w:rPr>
                <w:rFonts w:ascii="宋体" w:cs="宋体" w:hint="eastAsia"/>
                <w:color w:val="000000"/>
                <w:szCs w:val="21"/>
              </w:rPr>
              <w:t>7</w:t>
            </w:r>
          </w:p>
        </w:tc>
        <w:tc>
          <w:tcPr>
            <w:tcW w:w="2479"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jc w:val="left"/>
              <w:textAlignment w:val="center"/>
              <w:rPr>
                <w:rFonts w:ascii="宋体" w:cs="宋体"/>
                <w:color w:val="000000"/>
                <w:sz w:val="24"/>
              </w:rPr>
            </w:pPr>
            <w:r>
              <w:rPr>
                <w:rFonts w:ascii="仿宋" w:eastAsia="仿宋" w:cs="仿宋" w:hint="eastAsia"/>
                <w:color w:val="000000"/>
                <w:kern w:val="0"/>
                <w:sz w:val="22"/>
                <w:szCs w:val="22"/>
              </w:rPr>
              <w:t>毕业生就业满意度</w:t>
            </w:r>
          </w:p>
        </w:tc>
        <w:tc>
          <w:tcPr>
            <w:tcW w:w="1928"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94.49</w:t>
            </w:r>
            <w:r>
              <w:rPr>
                <w:rFonts w:ascii="宋体" w:cs="宋体"/>
                <w:color w:val="000000"/>
                <w:kern w:val="0"/>
                <w:sz w:val="22"/>
                <w:szCs w:val="22"/>
              </w:rPr>
              <w:t>%</w:t>
            </w:r>
          </w:p>
        </w:tc>
        <w:tc>
          <w:tcPr>
            <w:tcW w:w="1928"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95.2</w:t>
            </w:r>
            <w:r>
              <w:rPr>
                <w:rFonts w:ascii="宋体" w:cs="宋体"/>
                <w:color w:val="000000"/>
                <w:kern w:val="0"/>
                <w:sz w:val="22"/>
                <w:szCs w:val="22"/>
              </w:rPr>
              <w:t>%</w:t>
            </w:r>
          </w:p>
        </w:tc>
      </w:tr>
    </w:tbl>
    <w:p>
      <w:pPr>
        <w:pStyle w:val="18"/>
        <w:ind w:firstLineChars="200" w:firstLine="640"/>
        <w:rPr>
          <w:rFonts w:ascii="仿宋_GB2312" w:eastAsia="仿宋_GB2312" w:cs="仿宋_GB2312"/>
          <w:sz w:val="32"/>
          <w:szCs w:val="32"/>
        </w:rPr>
      </w:pPr>
      <w:bookmarkEnd w:id="39"/>
      <w:r>
        <w:rPr>
          <w:rFonts w:ascii="仿宋_GB2312" w:eastAsia="仿宋_GB2312" w:cs="仿宋_GB2312"/>
          <w:sz w:val="32"/>
          <w:szCs w:val="32"/>
        </w:rPr>
        <w:t>就业单位对毕业生的整体满意度有所上升，在职业素养的满意度、职业技能的满意度上均有不同的增加。</w:t>
      </w:r>
    </w:p>
    <w:p>
      <w:pPr>
        <w:pStyle w:val="18"/>
        <w:rPr>
          <w:rFonts w:eastAsia="仿宋_GB2312" w:cs="仿宋_GB2312"/>
        </w:rPr>
      </w:pPr>
      <w:r>
        <w:rPr>
          <w:rFonts w:eastAsia="仿宋_GB2312" w:cs="仿宋_GB2312"/>
        </w:rPr>
        <w:drawing>
          <wp:anchor distT="0" distB="0" distL="114300" distR="114300" simplePos="0" relativeHeight="91" behindDoc="0" locked="0" layoutInCell="1" hidden="0" allowOverlap="1">
            <wp:simplePos x="0" y="0"/>
            <wp:positionH relativeFrom="column">
              <wp:posOffset>837520</wp:posOffset>
            </wp:positionH>
            <wp:positionV relativeFrom="paragraph">
              <wp:posOffset>75532</wp:posOffset>
            </wp:positionV>
            <wp:extent cx="4349749" cy="1828800"/>
            <wp:effectExtent l="0" t="0" r="0" b="0"/>
            <wp:wrapTopAndBottom/>
            <wp:docPr id="27" name="图表 8"/>
            <wp:cNvGraphicFramePr>
              <a:graphicFrameLocks noChangeAspect="0"/>
            </wp:cNvGraphicFramePr>
            <a:graphic>
              <a:graphicData uri="http://schemas.openxmlformats.org/drawingml/2006/chart">
                <c:chart xmlns:c="http://schemas.openxmlformats.org/drawingml/2006/chart" r:id="rId23"/>
              </a:graphicData>
            </a:graphic>
          </wp:anchor>
        </w:drawing>
      </w:r>
      <w:r>
        <w:rPr>
          <w:rFonts w:hint="eastAsia"/>
        </w:rPr>
        <w:t xml:space="preserve"> </w:t>
      </w:r>
      <w:r>
        <w:t xml:space="preserve">                </w:t>
      </w:r>
      <w:r>
        <w:rPr>
          <w:rFonts w:eastAsia="仿宋_GB2312" w:cs="仿宋_GB2312"/>
        </w:rPr>
        <w:t xml:space="preserve"> </w:t>
      </w:r>
    </w:p>
    <w:p>
      <w:pPr>
        <w:pStyle w:val="18"/>
        <w:ind w:leftChars="0" w:left="0" w:firstLine="0"/>
        <w:jc w:val="center"/>
        <w:rPr>
          <w:rFonts w:eastAsia="仿宋_GB2312" w:cs="仿宋_GB2312"/>
        </w:rPr>
      </w:pPr>
      <w:r>
        <w:rPr>
          <w:rFonts w:eastAsia="仿宋_GB2312" w:cs="仿宋_GB2312" w:hint="eastAsia"/>
        </w:rPr>
        <w:t>图2-</w:t>
      </w:r>
      <w:r>
        <w:rPr>
          <w:rFonts w:eastAsia="仿宋_GB2312" w:cs="仿宋_GB2312"/>
        </w:rPr>
        <w:t>9</w:t>
      </w:r>
      <w:r>
        <w:rPr>
          <w:rFonts w:eastAsia="仿宋_GB2312" w:cs="仿宋_GB2312" w:hint="eastAsia"/>
        </w:rPr>
        <w:t>：就业单位对毕业生满意度调查统计</w:t>
      </w:r>
    </w:p>
    <w:p>
      <w:pPr>
        <w:ind w:firstLineChars="200" w:firstLine="640"/>
        <w:rPr>
          <w:rFonts w:ascii="仿宋_GB2312" w:eastAsia="仿宋_GB2312" w:cs="仿宋_GB2312"/>
          <w:b/>
          <w:bCs/>
          <w:sz w:val="32"/>
          <w:szCs w:val="32"/>
        </w:rPr>
      </w:pPr>
      <w:bookmarkStart w:id="40" w:name="_Toc6861_WPSOffice_Level1"/>
      <w:bookmarkStart w:id="41" w:name="_Toc9311"/>
      <w:r>
        <w:rPr>
          <w:rFonts w:ascii="仿宋_GB2312" w:eastAsia="仿宋_GB2312" w:cs="仿宋_GB2312" w:hint="eastAsia"/>
          <w:b/>
          <w:bCs/>
          <w:sz w:val="32"/>
          <w:szCs w:val="32"/>
        </w:rPr>
        <w:t>2</w:t>
      </w:r>
      <w:r>
        <w:rPr>
          <w:rFonts w:ascii="仿宋_GB2312" w:eastAsia="仿宋_GB2312" w:cs="仿宋_GB2312"/>
          <w:b/>
          <w:bCs/>
          <w:sz w:val="32"/>
          <w:szCs w:val="32"/>
        </w:rPr>
        <w:t>.4</w:t>
      </w:r>
      <w:r>
        <w:rPr>
          <w:rFonts w:ascii="仿宋_GB2312" w:eastAsia="仿宋_GB2312" w:cs="仿宋_GB2312" w:hint="eastAsia"/>
          <w:b/>
          <w:bCs/>
          <w:sz w:val="32"/>
          <w:szCs w:val="32"/>
        </w:rPr>
        <w:t>升学情况</w:t>
      </w:r>
    </w:p>
    <w:p>
      <w:pPr>
        <w:ind w:firstLineChars="200" w:firstLine="640"/>
        <w:rPr>
          <w:rFonts w:ascii="仿宋_GB2312" w:eastAsia="仿宋_GB2312" w:cs="仿宋_GB2312"/>
          <w:sz w:val="32"/>
          <w:szCs w:val="32"/>
        </w:rPr>
      </w:pPr>
      <w:r>
        <w:rPr>
          <w:rFonts w:ascii="仿宋_GB2312" w:eastAsia="仿宋_GB2312" w:cs="仿宋_GB2312"/>
          <w:sz w:val="32"/>
          <w:szCs w:val="32"/>
        </w:rPr>
        <w:t>学生</w:t>
      </w:r>
      <w:r>
        <w:rPr>
          <w:rFonts w:ascii="仿宋_GB2312" w:eastAsia="仿宋_GB2312" w:cs="仿宋_GB2312" w:hint="eastAsia"/>
          <w:sz w:val="32"/>
          <w:szCs w:val="32"/>
          <w:lang w:val="en-US" w:eastAsia="zh-CN"/>
        </w:rPr>
        <w:t>通过</w:t>
      </w:r>
      <w:r>
        <w:rPr>
          <w:rFonts w:ascii="仿宋_GB2312" w:eastAsia="仿宋_GB2312" w:cs="仿宋_GB2312"/>
          <w:sz w:val="32"/>
          <w:szCs w:val="32"/>
        </w:rPr>
        <w:t>对口单招、中本贯通、中高贯通、技能拔尖升学</w:t>
      </w:r>
      <w:r>
        <w:rPr>
          <w:rFonts w:ascii="仿宋_GB2312" w:eastAsia="仿宋_GB2312" w:cs="仿宋_GB2312" w:hint="eastAsia"/>
          <w:sz w:val="32"/>
          <w:szCs w:val="32"/>
          <w:lang w:val="en-US" w:eastAsia="zh-CN"/>
        </w:rPr>
        <w:t>等方式</w:t>
      </w:r>
      <w:r>
        <w:rPr>
          <w:rFonts w:ascii="仿宋_GB2312" w:eastAsia="仿宋_GB2312" w:cs="仿宋_GB2312"/>
          <w:sz w:val="32"/>
          <w:szCs w:val="32"/>
        </w:rPr>
        <w:t>升入</w:t>
      </w:r>
      <w:r>
        <w:rPr>
          <w:rFonts w:ascii="仿宋_GB2312" w:eastAsia="仿宋_GB2312" w:cs="仿宋_GB2312" w:hint="eastAsia"/>
          <w:sz w:val="32"/>
          <w:szCs w:val="32"/>
          <w:lang w:val="en-US" w:eastAsia="zh-CN"/>
        </w:rPr>
        <w:t>高校继续学习的通道进一步拓宽，</w:t>
      </w:r>
      <w:r>
        <w:rPr>
          <w:rFonts w:ascii="仿宋_GB2312" w:eastAsia="仿宋_GB2312" w:cs="仿宋_GB2312"/>
          <w:sz w:val="32"/>
          <w:szCs w:val="32"/>
        </w:rPr>
        <w:t>升学人数有显著增加。2021年度，升入高一级学校就读人数从5116人增加到6011人，其中升入本科院校人数235人，比去年增加68人，升入高职人数4946人，比去年增加842人。</w:t>
      </w:r>
    </w:p>
    <w:p>
      <w:pPr>
        <w:pStyle w:val="23"/>
        <w:spacing w:beforeAutospacing="0" w:afterAutospacing="0" w:line="560" w:lineRule="exact"/>
        <w:jc w:val="center"/>
        <w:rPr>
          <w:rFonts w:ascii="Times New Roman" w:eastAsia="仿宋_GB2312" w:cs="仿宋_GB2312" w:hAnsi="Times New Roman"/>
          <w:kern w:val="2"/>
        </w:rPr>
      </w:pPr>
      <w:r>
        <w:rPr>
          <w:rFonts w:ascii="黑体" w:eastAsia="黑体" w:cs="黑体"/>
          <w:color w:val="000000"/>
          <w:sz w:val="32"/>
          <w:szCs w:val="32"/>
        </w:rPr>
        <w:drawing>
          <wp:anchor distT="0" distB="0" distL="114300" distR="114300" simplePos="0" relativeHeight="93" behindDoc="0" locked="0" layoutInCell="1" hidden="0" allowOverlap="1">
            <wp:simplePos x="0" y="0"/>
            <wp:positionH relativeFrom="column">
              <wp:posOffset>959532</wp:posOffset>
            </wp:positionH>
            <wp:positionV relativeFrom="paragraph">
              <wp:posOffset>136015</wp:posOffset>
            </wp:positionV>
            <wp:extent cx="4133850" cy="1917700"/>
            <wp:effectExtent l="0" t="0" r="0" b="0"/>
            <wp:wrapTopAndBottom/>
            <wp:docPr id="28" name="图表 11"/>
            <wp:cNvGraphicFramePr>
              <a:graphicFrameLocks noChangeAspect="0"/>
            </wp:cNvGraphicFramePr>
            <a:graphic>
              <a:graphicData uri="http://schemas.openxmlformats.org/drawingml/2006/chart">
                <c:chart xmlns:c="http://schemas.openxmlformats.org/drawingml/2006/chart" r:id="rId24"/>
              </a:graphicData>
            </a:graphic>
          </wp:anchor>
        </w:drawing>
      </w:r>
      <w:r>
        <w:rPr>
          <w:rFonts w:ascii="Times New Roman" w:eastAsia="仿宋_GB2312" w:cs="仿宋_GB2312" w:hAnsi="Times New Roman" w:hint="eastAsia"/>
          <w:kern w:val="2"/>
        </w:rPr>
        <w:t>图2-</w:t>
      </w:r>
      <w:r>
        <w:rPr>
          <w:rFonts w:ascii="Times New Roman" w:eastAsia="仿宋_GB2312" w:cs="仿宋_GB2312" w:hAnsi="Times New Roman"/>
          <w:kern w:val="2"/>
        </w:rPr>
        <w:t>10</w:t>
      </w:r>
      <w:r>
        <w:rPr>
          <w:rFonts w:ascii="Times New Roman" w:eastAsia="仿宋_GB2312" w:cs="仿宋_GB2312" w:hAnsi="Times New Roman" w:hint="eastAsia"/>
          <w:kern w:val="2"/>
        </w:rPr>
        <w:t>：2</w:t>
      </w:r>
      <w:r>
        <w:rPr>
          <w:rFonts w:ascii="Times New Roman" w:eastAsia="仿宋_GB2312" w:cs="仿宋_GB2312" w:hAnsi="Times New Roman"/>
          <w:kern w:val="2"/>
        </w:rPr>
        <w:t>020</w:t>
      </w:r>
      <w:r>
        <w:rPr>
          <w:rFonts w:ascii="Times New Roman" w:eastAsia="仿宋_GB2312" w:cs="仿宋_GB2312" w:hAnsi="Times New Roman" w:hint="eastAsia"/>
          <w:kern w:val="2"/>
        </w:rPr>
        <w:t>、2021年毕业生升学情况图</w:t>
      </w:r>
    </w:p>
    <w:p>
      <w:pPr>
        <w:ind w:firstLineChars="200" w:firstLine="560"/>
        <w:jc w:val="center"/>
        <w:textAlignment w:val="baseline"/>
        <w:rPr>
          <w:rFonts w:ascii="黑体" w:eastAsia="黑体" w:cs="宋体" w:hint="eastAsia"/>
          <w:color w:val="000000"/>
          <w:sz w:val="28"/>
          <w:szCs w:val="28"/>
        </w:rPr>
      </w:pPr>
      <w:r>
        <w:rPr>
          <w:rFonts w:ascii="黑体" w:eastAsia="黑体" w:cs="宋体" w:hint="eastAsia"/>
          <w:color w:val="000000"/>
          <w:sz w:val="28"/>
          <w:szCs w:val="28"/>
        </w:rPr>
        <w:t>典型案例4：淮阴中等专业学校优秀毕业生孟轩</w:t>
      </w:r>
    </w:p>
    <w:p>
      <w:pPr>
        <w:spacing w:line="500" w:lineRule="exact"/>
        <w:ind w:firstLineChars="200" w:firstLine="560"/>
        <w:rPr>
          <w:rFonts w:ascii="方正楷体_GBK" w:eastAsia="方正楷体_GBK" w:hint="eastAsia"/>
          <w:b w:val="0"/>
          <w:bCs w:val="0"/>
          <w:sz w:val="28"/>
          <w:szCs w:val="28"/>
          <w:lang w:val="en-US" w:eastAsia="zh-CN"/>
        </w:rPr>
      </w:pPr>
      <w:r>
        <w:rPr>
          <w:rFonts w:ascii="方正楷体_GBK" w:eastAsia="方正楷体_GBK" w:hint="eastAsia"/>
          <w:b w:val="0"/>
          <w:bCs w:val="0"/>
          <w:sz w:val="28"/>
          <w:szCs w:val="28"/>
          <w:lang w:val="en-US" w:eastAsia="zh-CN"/>
        </w:rPr>
        <w:t>孟轩是淮阴中等专业学校烹饪营养部17级的一名学生，在校任学生会主席。在2019年11月到无锡同庆楼顶岗实习，2020年1月遇到了来势汹汹的新冠肺炎，孟轩跟酒店领导和部分同事一起展开生产自救，跑外卖，跑团餐，摆摊，这期间很辛苦，更多的是对新冠病毒的恐惧，但是他坚持下来了，这些经历将成为他一辈子的骄傲。2020年6月，孟轩毕业，由于他实习期间表现突出，2020年7月被提拔为宴会厅长，自此，孟轩不仅做好自己的分内工作，还利用业余时间学管理，学统筹，慢慢从一名员工成长为一名管理者。2020年11月，又晋升为区域经理，2021年6月，孟轩申请转岗为销售经理，因为销售岗位更能磨炼自己，收入也更可观（10月份月收入已超过2万元）。孟轩在按照自己的职业规划，一步一个脚印，踏踏实实的走好他职场的每一步。</w:t>
      </w:r>
    </w:p>
    <w:p>
      <w:pPr>
        <w:spacing w:line="500" w:lineRule="exact"/>
        <w:ind w:left="0" w:firstLineChars="200" w:firstLine="640"/>
        <w:outlineLvl w:val="0"/>
        <w:rPr>
          <w:rFonts w:ascii="黑体" w:eastAsia="黑体" w:cs="黑体"/>
          <w:color w:val="000000"/>
          <w:sz w:val="32"/>
          <w:szCs w:val="32"/>
        </w:rPr>
      </w:pPr>
      <w:bookmarkStart w:id="42" w:name="_Toc27458"/>
      <w:bookmarkStart w:id="43" w:name="_Toc84605524"/>
      <w:r>
        <w:rPr>
          <w:rFonts w:ascii="黑体" w:eastAsia="黑体" w:cs="黑体"/>
          <w:color w:val="000000"/>
          <w:sz w:val="32"/>
          <w:szCs w:val="32"/>
        </w:rPr>
        <w:t>3</w:t>
      </w:r>
      <w:r>
        <w:rPr>
          <w:rFonts w:ascii="黑体" w:eastAsia="黑体" w:cs="黑体" w:hint="eastAsia"/>
          <w:color w:val="000000"/>
          <w:sz w:val="32"/>
          <w:szCs w:val="32"/>
        </w:rPr>
        <w:t>.</w:t>
      </w:r>
      <w:bookmarkStart w:id="44" w:name="_Toc26152_WPSOffice_Level2"/>
      <w:bookmarkEnd w:id="40"/>
      <w:bookmarkEnd w:id="41"/>
      <w:bookmarkEnd w:id="42"/>
      <w:r>
        <w:rPr>
          <w:rFonts w:ascii="黑体" w:eastAsia="黑体" w:cs="黑体" w:hint="eastAsia"/>
          <w:color w:val="000000"/>
          <w:sz w:val="32"/>
          <w:szCs w:val="32"/>
        </w:rPr>
        <w:t>教育教学</w:t>
      </w:r>
      <w:bookmarkEnd w:id="43"/>
    </w:p>
    <w:p>
      <w:pPr>
        <w:pStyle w:val="23"/>
        <w:spacing w:beforeAutospacing="0" w:afterAutospacing="0" w:line="560" w:lineRule="exact"/>
        <w:ind w:firstLineChars="200" w:firstLine="640"/>
        <w:outlineLvl w:val="1"/>
        <w:rPr>
          <w:rFonts w:ascii="Times New Roman" w:eastAsia="仿宋_GB2312" w:hAnsi="Times New Roman"/>
          <w:b/>
          <w:bCs/>
          <w:sz w:val="32"/>
          <w:szCs w:val="32"/>
          <w:shd w:val="clear" w:color="auto" w:fill="FFFFFF"/>
        </w:rPr>
      </w:pPr>
      <w:bookmarkStart w:id="45" w:name="_Toc30972"/>
      <w:bookmarkStart w:id="46" w:name="_Toc29100"/>
      <w:bookmarkStart w:id="47" w:name="_Toc84605525"/>
      <w:r>
        <w:rPr>
          <w:rFonts w:ascii="Times New Roman" w:eastAsia="仿宋_GB2312" w:hAnsi="Times New Roman"/>
          <w:b/>
          <w:bCs/>
          <w:sz w:val="32"/>
          <w:szCs w:val="32"/>
          <w:shd w:val="clear" w:color="auto" w:fill="FFFFFF"/>
        </w:rPr>
        <w:t>3.</w:t>
      </w:r>
      <w:r>
        <w:rPr>
          <w:rFonts w:ascii="Times New Roman" w:eastAsia="仿宋_GB2312" w:hAnsi="Times New Roman" w:hint="eastAsia"/>
          <w:b/>
          <w:bCs/>
          <w:sz w:val="32"/>
          <w:szCs w:val="32"/>
          <w:shd w:val="clear" w:color="auto" w:fill="FFFFFF"/>
        </w:rPr>
        <w:t>1</w:t>
      </w:r>
      <w:r>
        <w:rPr>
          <w:rFonts w:ascii="Times New Roman" w:eastAsia="仿宋_GB2312" w:hAnsi="Times New Roman"/>
          <w:b/>
          <w:bCs/>
          <w:sz w:val="32"/>
          <w:szCs w:val="32"/>
          <w:shd w:val="clear" w:color="auto" w:fill="FFFFFF"/>
        </w:rPr>
        <w:t xml:space="preserve"> </w:t>
      </w:r>
      <w:bookmarkEnd w:id="45"/>
      <w:bookmarkEnd w:id="46"/>
      <w:r>
        <w:rPr>
          <w:rFonts w:ascii="Times New Roman" w:eastAsia="仿宋_GB2312" w:hAnsi="Times New Roman" w:hint="eastAsia"/>
          <w:b/>
          <w:bCs/>
          <w:sz w:val="32"/>
          <w:szCs w:val="32"/>
          <w:shd w:val="clear" w:color="auto" w:fill="FFFFFF"/>
        </w:rPr>
        <w:t>专业建设</w:t>
      </w:r>
      <w:bookmarkEnd w:id="47"/>
    </w:p>
    <w:p>
      <w:pPr>
        <w:pStyle w:val="23"/>
        <w:spacing w:beforeAutospacing="0" w:afterAutospacing="0" w:line="560" w:lineRule="exact"/>
        <w:ind w:left="0" w:firstLineChars="200" w:firstLine="640"/>
        <w:jc w:val="both"/>
        <w:outlineLvl w:val="1"/>
        <w:rPr>
          <w:rFonts w:ascii="Times New Roman" w:eastAsia="仿宋_GB2312" w:cs="Times New Roman" w:hAnsi="Times New Roman"/>
          <w:sz w:val="32"/>
          <w:szCs w:val="32"/>
          <w:shd w:val="clear" w:color="auto" w:fill="FFFFFF"/>
          <w:lang w:val="en-US" w:eastAsia="zh-CN"/>
        </w:rPr>
      </w:pPr>
      <w:bookmarkStart w:id="48" w:name="_Toc59566734"/>
      <w:bookmarkStart w:id="49" w:name="_Toc84605485"/>
      <w:bookmarkStart w:id="50" w:name="_Toc84605526"/>
      <w:r>
        <w:rPr>
          <w:rFonts w:ascii="Times New Roman" w:eastAsia="仿宋_GB2312" w:hAnsi="Times New Roman" w:hint="eastAsia"/>
          <w:sz w:val="32"/>
          <w:szCs w:val="32"/>
          <w:shd w:val="clear" w:color="auto" w:fill="FFFFFF"/>
          <w:lang w:val="en-US" w:eastAsia="zh-CN"/>
        </w:rPr>
        <w:t>组织开展专业和产业吻合度调研。全面梳理全市产业结构、从业人员结构等产业数据，建立吻合度模型，对全市中职专业吻合情况按专业类进行分析。研究</w:t>
      </w:r>
      <w:r>
        <w:rPr>
          <w:rFonts w:ascii="Times New Roman" w:eastAsia="仿宋_GB2312" w:cs="Times New Roman" w:hAnsi="Times New Roman" w:hint="eastAsia"/>
          <w:sz w:val="32"/>
          <w:szCs w:val="32"/>
          <w:shd w:val="clear" w:color="auto" w:fill="FFFFFF"/>
          <w:lang w:val="en-US" w:eastAsia="zh-CN"/>
        </w:rPr>
        <w:t>表明，我市职业教育规模与经济规模契合度高，三次产业的专业结构与产业结构的契合度高。农林牧渔、财经商贸类吻合度不高，其中财经商贸类属于红线专业，加工制造类、交通运输类、旅游服务类吻合度高。</w:t>
      </w:r>
    </w:p>
    <w:p>
      <w:pPr>
        <w:pStyle w:val="23"/>
        <w:spacing w:beforeAutospacing="0" w:afterAutospacing="0" w:line="560" w:lineRule="exact"/>
        <w:ind w:left="0" w:firstLineChars="200" w:firstLine="640"/>
        <w:jc w:val="both"/>
        <w:outlineLvl w:val="1"/>
        <w:rPr>
          <w:rFonts w:ascii="Times New Roman" w:eastAsia="仿宋_GB2312" w:hAnsi="Times New Roman"/>
          <w:sz w:val="32"/>
          <w:szCs w:val="32"/>
          <w:shd w:val="clear" w:color="auto" w:fill="FFFFFF"/>
        </w:rPr>
      </w:pPr>
      <w:r>
        <w:rPr>
          <w:rFonts w:ascii="Times New Roman" w:eastAsia="仿宋_GB2312" w:hAnsi="Times New Roman" w:hint="eastAsia"/>
          <w:sz w:val="32"/>
          <w:szCs w:val="32"/>
          <w:shd w:val="clear" w:color="auto" w:fill="FFFFFF"/>
          <w:lang w:val="en-US" w:eastAsia="zh-CN"/>
        </w:rPr>
        <w:t>持续优化专业布局。</w:t>
      </w:r>
      <w:r>
        <w:rPr>
          <w:rFonts w:ascii="Times New Roman" w:eastAsia="仿宋_GB2312" w:hAnsi="Times New Roman" w:hint="eastAsia"/>
          <w:sz w:val="32"/>
          <w:szCs w:val="32"/>
          <w:shd w:val="clear" w:color="auto" w:fill="FFFFFF"/>
        </w:rPr>
        <w:t>全市积极围绕淮安市产业结构，</w:t>
      </w:r>
      <w:r>
        <w:rPr>
          <w:rFonts w:ascii="Times New Roman" w:eastAsia="仿宋_GB2312" w:hAnsi="Times New Roman"/>
          <w:sz w:val="32"/>
          <w:szCs w:val="32"/>
          <w:shd w:val="clear" w:color="auto" w:fill="FFFFFF"/>
        </w:rPr>
        <w:t>根据“扎根行业、立足淮安、面向江苏”服务地方经济发展和用人单位的需求，</w:t>
      </w:r>
      <w:r>
        <w:rPr>
          <w:rFonts w:ascii="Times New Roman" w:eastAsia="仿宋_GB2312" w:hAnsi="Times New Roman" w:hint="eastAsia"/>
          <w:sz w:val="32"/>
          <w:szCs w:val="32"/>
          <w:shd w:val="clear" w:color="auto" w:fill="FFFFFF"/>
        </w:rPr>
        <w:t>对所有中职校专业进行排查，对各专业进行合理布局，淘汰部分与产业不吻合的专业，并要求各校积极对照产业进行新专业的申报，2</w:t>
      </w:r>
      <w:r>
        <w:rPr>
          <w:rFonts w:ascii="Times New Roman" w:eastAsia="仿宋_GB2312" w:hAnsi="Times New Roman"/>
          <w:sz w:val="32"/>
          <w:szCs w:val="32"/>
          <w:shd w:val="clear" w:color="auto" w:fill="FFFFFF"/>
        </w:rPr>
        <w:t>021</w:t>
      </w:r>
      <w:r>
        <w:rPr>
          <w:rFonts w:ascii="Times New Roman" w:eastAsia="仿宋_GB2312" w:hAnsi="Times New Roman" w:hint="eastAsia"/>
          <w:sz w:val="32"/>
          <w:szCs w:val="32"/>
          <w:shd w:val="clear" w:color="auto" w:fill="FFFFFF"/>
        </w:rPr>
        <w:t>年度，全市</w:t>
      </w:r>
      <w:r>
        <w:rPr>
          <w:rFonts w:ascii="Times New Roman" w:eastAsia="仿宋_GB2312" w:hAnsi="Times New Roman"/>
          <w:sz w:val="32"/>
          <w:szCs w:val="32"/>
          <w:shd w:val="clear" w:color="auto" w:fill="FFFFFF"/>
        </w:rPr>
        <w:t>三年制中职和五年制高职专</w:t>
      </w:r>
      <w:r>
        <w:rPr>
          <w:rFonts w:ascii="Times New Roman" w:eastAsia="仿宋_GB2312" w:hAnsi="Times New Roman" w:hint="eastAsia"/>
          <w:sz w:val="32"/>
          <w:szCs w:val="32"/>
          <w:shd w:val="clear" w:color="auto" w:fill="FFFFFF"/>
          <w:lang w:val="en-US" w:eastAsia="zh-CN"/>
        </w:rPr>
        <w:t>业点</w:t>
      </w:r>
      <w:r>
        <w:rPr>
          <w:rFonts w:ascii="Times New Roman" w:eastAsia="仿宋_GB2312" w:hAnsi="Times New Roman"/>
          <w:sz w:val="32"/>
          <w:szCs w:val="32"/>
          <w:shd w:val="clear" w:color="auto" w:fill="FFFFFF"/>
        </w:rPr>
        <w:t>数</w:t>
      </w:r>
      <w:r>
        <w:rPr>
          <w:rFonts w:ascii="Times New Roman" w:eastAsia="仿宋_GB2312" w:hAnsi="Times New Roman" w:hint="eastAsia"/>
          <w:sz w:val="32"/>
          <w:szCs w:val="32"/>
          <w:shd w:val="clear" w:color="auto" w:fill="FFFFFF"/>
        </w:rPr>
        <w:t>由原先的1</w:t>
      </w:r>
      <w:r>
        <w:rPr>
          <w:rFonts w:ascii="Times New Roman" w:eastAsia="仿宋_GB2312" w:hAnsi="Times New Roman"/>
          <w:sz w:val="32"/>
          <w:szCs w:val="32"/>
          <w:shd w:val="clear" w:color="auto" w:fill="FFFFFF"/>
        </w:rPr>
        <w:t>82个</w:t>
      </w:r>
      <w:r>
        <w:rPr>
          <w:rFonts w:ascii="Times New Roman" w:eastAsia="仿宋_GB2312" w:hAnsi="Times New Roman" w:hint="eastAsia"/>
          <w:sz w:val="32"/>
          <w:szCs w:val="32"/>
          <w:shd w:val="clear" w:color="auto" w:fill="FFFFFF"/>
        </w:rPr>
        <w:t>减少为现有的1</w:t>
      </w:r>
      <w:r>
        <w:rPr>
          <w:rFonts w:ascii="Times New Roman" w:eastAsia="仿宋_GB2312" w:hAnsi="Times New Roman"/>
          <w:sz w:val="32"/>
          <w:szCs w:val="32"/>
          <w:shd w:val="clear" w:color="auto" w:fill="FFFFFF"/>
        </w:rPr>
        <w:t>78</w:t>
      </w:r>
      <w:r>
        <w:rPr>
          <w:rFonts w:ascii="Times New Roman" w:eastAsia="仿宋_GB2312" w:hAnsi="Times New Roman" w:hint="eastAsia"/>
          <w:sz w:val="32"/>
          <w:szCs w:val="32"/>
          <w:shd w:val="clear" w:color="auto" w:fill="FFFFFF"/>
        </w:rPr>
        <w:t>个，专业布局与当地产业吻合度明显提升。</w:t>
      </w:r>
      <w:bookmarkEnd w:id="48"/>
      <w:r>
        <w:rPr>
          <w:rFonts w:eastAsia="仿宋_GB2312" w:hint="eastAsia"/>
          <w:kern w:val="0"/>
          <w:sz w:val="32"/>
          <w:szCs w:val="32"/>
          <w:shd w:val="clear" w:color="auto" w:fill="FFFFFF"/>
        </w:rPr>
        <w:t>中高职衔接专业数由3</w:t>
      </w:r>
      <w:r>
        <w:rPr>
          <w:rFonts w:eastAsia="仿宋_GB2312"/>
          <w:kern w:val="0"/>
          <w:sz w:val="32"/>
          <w:szCs w:val="32"/>
          <w:shd w:val="clear" w:color="auto" w:fill="FFFFFF"/>
        </w:rPr>
        <w:t>0</w:t>
      </w:r>
      <w:r>
        <w:rPr>
          <w:rFonts w:eastAsia="仿宋_GB2312" w:hint="eastAsia"/>
          <w:kern w:val="0"/>
          <w:sz w:val="32"/>
          <w:szCs w:val="32"/>
          <w:shd w:val="clear" w:color="auto" w:fill="FFFFFF"/>
        </w:rPr>
        <w:t>个增加到4</w:t>
      </w:r>
      <w:r>
        <w:rPr>
          <w:rFonts w:eastAsia="仿宋_GB2312"/>
          <w:kern w:val="0"/>
          <w:sz w:val="32"/>
          <w:szCs w:val="32"/>
          <w:shd w:val="clear" w:color="auto" w:fill="FFFFFF"/>
        </w:rPr>
        <w:t>2</w:t>
      </w:r>
      <w:r>
        <w:rPr>
          <w:rFonts w:eastAsia="仿宋_GB2312" w:hint="eastAsia"/>
          <w:kern w:val="0"/>
          <w:sz w:val="32"/>
          <w:szCs w:val="32"/>
          <w:shd w:val="clear" w:color="auto" w:fill="FFFFFF"/>
        </w:rPr>
        <w:t>个。各校积极开展专业技能标准建设活动，根据专业技能标准进行学生技能的教学、训练及考证。</w:t>
      </w:r>
      <w:bookmarkEnd w:id="49"/>
      <w:bookmarkEnd w:id="50"/>
    </w:p>
    <w:p>
      <w:pPr>
        <w:pStyle w:val="18"/>
        <w:rPr>
          <w:rFonts w:eastAsia="仿宋_GB2312" w:cs="仿宋_GB2312" w:hint="eastAsia"/>
        </w:rPr>
      </w:pPr>
      <w:r>
        <w:drawing>
          <wp:anchor distT="0" distB="0" distL="114300" distR="114300" simplePos="0" relativeHeight="95" behindDoc="0" locked="0" layoutInCell="1" hidden="0" allowOverlap="1">
            <wp:simplePos x="0" y="0"/>
            <wp:positionH relativeFrom="column">
              <wp:posOffset>972772</wp:posOffset>
            </wp:positionH>
            <wp:positionV relativeFrom="paragraph">
              <wp:posOffset>77437</wp:posOffset>
            </wp:positionV>
            <wp:extent cx="4406900" cy="2463799"/>
            <wp:effectExtent l="0" t="0" r="0" b="0"/>
            <wp:wrapTopAndBottom/>
            <wp:docPr id="29" name="图表 29"/>
            <wp:cNvGraphicFramePr>
              <a:graphicFrameLocks noChangeAspect="0"/>
            </wp:cNvGraphicFramePr>
            <a:graphic>
              <a:graphicData uri="http://schemas.openxmlformats.org/drawingml/2006/chart">
                <c:chart xmlns:c="http://schemas.openxmlformats.org/drawingml/2006/chart" r:id="rId25"/>
              </a:graphicData>
            </a:graphic>
          </wp:anchor>
        </w:drawing>
      </w:r>
      <w:r>
        <w:rPr>
          <w:rFonts w:hint="eastAsia"/>
        </w:rPr>
        <w:t xml:space="preserve"> </w:t>
      </w:r>
      <w:r>
        <w:t xml:space="preserve">                     </w:t>
      </w:r>
      <w:r>
        <w:rPr>
          <w:rFonts w:eastAsia="仿宋_GB2312" w:cs="仿宋_GB2312" w:hint="eastAsia"/>
        </w:rPr>
        <w:t>图3-</w:t>
      </w:r>
      <w:r>
        <w:rPr>
          <w:rFonts w:eastAsia="仿宋_GB2312" w:cs="仿宋_GB2312"/>
        </w:rPr>
        <w:t>1</w:t>
      </w:r>
      <w:r>
        <w:rPr>
          <w:rFonts w:eastAsia="仿宋_GB2312" w:cs="仿宋_GB2312" w:hint="eastAsia"/>
        </w:rPr>
        <w:t>：淮安市专业设置对比图</w:t>
      </w:r>
    </w:p>
    <w:p>
      <w:pPr>
        <w:ind w:firstLineChars="200" w:firstLine="640"/>
        <w:rPr>
          <w:rFonts w:eastAsia="仿宋_GB2312"/>
          <w:sz w:val="32"/>
          <w:szCs w:val="32"/>
          <w:lang w:val="en-US" w:eastAsia="zh-CN"/>
        </w:rPr>
      </w:pPr>
      <w:r>
        <w:rPr>
          <w:rFonts w:eastAsia="仿宋_GB2312" w:cs="仿宋_GB2312" w:hint="eastAsia"/>
          <w:sz w:val="32"/>
          <w:szCs w:val="32"/>
          <w:lang w:val="en-US" w:eastAsia="zh-CN"/>
        </w:rPr>
        <w:t>发挥</w:t>
      </w:r>
      <w:r>
        <w:rPr>
          <w:rFonts w:eastAsia="仿宋_GB2312" w:cs="仿宋_GB2312"/>
          <w:sz w:val="32"/>
          <w:szCs w:val="32"/>
          <w:lang w:val="en-US" w:eastAsia="zh-CN"/>
        </w:rPr>
        <w:t>人才</w:t>
      </w:r>
      <w:r>
        <w:rPr>
          <w:rFonts w:eastAsia="仿宋_GB2312" w:cs="仿宋_GB2312" w:hint="eastAsia"/>
          <w:sz w:val="32"/>
          <w:szCs w:val="32"/>
          <w:lang w:val="en-US" w:eastAsia="zh-CN"/>
        </w:rPr>
        <w:t>培养方案重要作用。督促各校开展企业调研，深入分析岗位需求变化，并及时进行</w:t>
      </w:r>
      <w:r>
        <w:rPr>
          <w:rFonts w:eastAsia="仿宋_GB2312" w:cs="仿宋_GB2312"/>
          <w:sz w:val="32"/>
          <w:szCs w:val="32"/>
          <w:lang w:val="en-US" w:eastAsia="zh-CN"/>
        </w:rPr>
        <w:t>人培方案</w:t>
      </w:r>
      <w:r>
        <w:rPr>
          <w:rFonts w:eastAsia="仿宋_GB2312" w:cs="仿宋_GB2312" w:hint="eastAsia"/>
          <w:sz w:val="32"/>
          <w:szCs w:val="32"/>
          <w:lang w:val="en-US" w:eastAsia="zh-CN"/>
        </w:rPr>
        <w:t>修订。职教教育室、市教育局职社处组织人员对各校修订的人才培养方案进行审核</w:t>
      </w:r>
      <w:r>
        <w:rPr>
          <w:rFonts w:eastAsia="仿宋_GB2312" w:cs="仿宋_GB2312"/>
          <w:sz w:val="32"/>
          <w:szCs w:val="32"/>
          <w:lang w:val="en-US" w:eastAsia="zh-CN"/>
        </w:rPr>
        <w:t>，</w:t>
      </w:r>
      <w:r>
        <w:rPr>
          <w:rFonts w:eastAsia="仿宋_GB2312" w:cs="仿宋_GB2312" w:hint="eastAsia"/>
          <w:sz w:val="32"/>
          <w:szCs w:val="32"/>
          <w:lang w:val="en-US" w:eastAsia="zh-CN"/>
        </w:rPr>
        <w:t>督促各校执行人才培养方案，职教教研室定期开展培养方案和课程标准落实情况督导。</w:t>
      </w:r>
    </w:p>
    <w:p>
      <w:pPr>
        <w:pStyle w:val="23"/>
        <w:spacing w:beforeAutospacing="0" w:afterAutospacing="0" w:line="560" w:lineRule="exact"/>
        <w:ind w:firstLineChars="200" w:firstLine="640"/>
        <w:outlineLvl w:val="1"/>
        <w:rPr>
          <w:rFonts w:ascii="仿宋_GB2312" w:eastAsia="仿宋_GB2312" w:cs="仿宋_GB2312"/>
          <w:b/>
          <w:bCs/>
          <w:kern w:val="2"/>
          <w:sz w:val="32"/>
          <w:szCs w:val="32"/>
        </w:rPr>
      </w:pPr>
      <w:bookmarkStart w:id="51" w:name="_Toc84605527"/>
      <w:r>
        <w:rPr>
          <w:rFonts w:ascii="仿宋_GB2312" w:eastAsia="仿宋_GB2312" w:cs="仿宋_GB2312"/>
          <w:b/>
          <w:bCs/>
          <w:kern w:val="2"/>
          <w:sz w:val="32"/>
          <w:szCs w:val="32"/>
        </w:rPr>
        <w:t xml:space="preserve">3.2 </w:t>
      </w:r>
      <w:r>
        <w:rPr>
          <w:rFonts w:ascii="仿宋_GB2312" w:eastAsia="仿宋_GB2312" w:cs="仿宋_GB2312" w:hint="eastAsia"/>
          <w:b/>
          <w:bCs/>
          <w:kern w:val="2"/>
          <w:sz w:val="32"/>
          <w:szCs w:val="32"/>
        </w:rPr>
        <w:t>教学改革</w:t>
      </w:r>
      <w:bookmarkEnd w:id="51"/>
    </w:p>
    <w:p>
      <w:pPr>
        <w:ind w:firstLineChars="200" w:firstLine="640"/>
        <w:rPr>
          <w:rFonts w:ascii="仿宋_GB2312" w:eastAsia="仿宋_GB2312" w:cs="仿宋_GB2312"/>
          <w:sz w:val="32"/>
          <w:szCs w:val="32"/>
        </w:rPr>
      </w:pPr>
      <w:r>
        <w:rPr>
          <w:rFonts w:ascii="仿宋_GB2312" w:eastAsia="仿宋_GB2312" w:cs="仿宋_GB2312"/>
          <w:sz w:val="32"/>
          <w:szCs w:val="32"/>
        </w:rPr>
        <w:t>深化教育教学改革</w:t>
      </w:r>
      <w:r>
        <w:rPr>
          <w:rFonts w:ascii="仿宋_GB2312" w:eastAsia="仿宋_GB2312" w:cs="仿宋_GB2312" w:hint="eastAsia"/>
          <w:sz w:val="32"/>
          <w:szCs w:val="32"/>
          <w:lang w:val="en-US" w:eastAsia="zh-CN"/>
        </w:rPr>
        <w:t>研究</w:t>
      </w:r>
      <w:r>
        <w:rPr>
          <w:rFonts w:ascii="仿宋_GB2312" w:eastAsia="仿宋_GB2312" w:cs="仿宋_GB2312"/>
          <w:sz w:val="32"/>
          <w:szCs w:val="32"/>
        </w:rPr>
        <w:t>。成立第三届市教科研中心组，科学设置中心组的组别，创新中心组组织架构，中心组各大类学科/专业建设指导委员会主任指导各中心组组长开展工作，统筹考虑中心组的活动组织和专业教研相结合。</w:t>
      </w:r>
      <w:r>
        <w:rPr>
          <w:rFonts w:ascii="仿宋_GB2312" w:eastAsia="仿宋_GB2312" w:cs="仿宋_GB2312" w:hint="eastAsia"/>
          <w:sz w:val="32"/>
          <w:szCs w:val="32"/>
          <w:lang w:val="en-US" w:eastAsia="zh-CN"/>
        </w:rPr>
        <w:t>市教育局承担的</w:t>
      </w:r>
      <w:r>
        <w:rPr>
          <w:rFonts w:ascii="仿宋_GB2312" w:eastAsia="仿宋_GB2312" w:cs="仿宋_GB2312"/>
          <w:sz w:val="32"/>
          <w:szCs w:val="32"/>
        </w:rPr>
        <w:t>省战略性和政策性课题研究有效推进，完成省第四期职教教改课题研究工作，完成十四五课题规划工作，组织25个省级、42个市级课题开结题论证工作。推进市职教教育教学改革创新项目孵化工程暨教学成果奖培育实施和评审，组织遴选15件项目参加省职业教育（中职）项目评选，我市共获得1个一等奖、3个二等奖，获奖总数在全省排名第七。</w:t>
      </w:r>
    </w:p>
    <w:p>
      <w:pPr>
        <w:spacing w:line="500" w:lineRule="exact"/>
        <w:ind w:firstLineChars="200" w:firstLine="640"/>
        <w:jc w:val="left"/>
        <w:outlineLvl w:val="1"/>
        <w:rPr>
          <w:rFonts w:ascii="仿宋_GB2312" w:eastAsia="仿宋_GB2312" w:cs="仿宋_GB2312"/>
          <w:sz w:val="32"/>
          <w:szCs w:val="32"/>
        </w:rPr>
      </w:pPr>
      <w:r>
        <w:rPr>
          <w:rFonts w:ascii="仿宋_GB2312" w:eastAsia="仿宋_GB2312" w:cs="仿宋_GB2312" w:hint="eastAsia"/>
          <w:sz w:val="32"/>
          <w:szCs w:val="32"/>
          <w:lang w:val="en-US" w:eastAsia="zh-CN"/>
        </w:rPr>
        <w:t>加大信息化融合。</w:t>
      </w:r>
      <w:bookmarkStart w:id="52" w:name="_Toc84605528"/>
      <w:bookmarkStart w:id="53" w:name="_Toc59566736"/>
      <w:bookmarkStart w:id="54" w:name="_Toc84605487"/>
      <w:r>
        <w:rPr>
          <w:rFonts w:ascii="仿宋_GB2312" w:eastAsia="仿宋_GB2312" w:cs="仿宋_GB2312"/>
          <w:sz w:val="32"/>
          <w:szCs w:val="32"/>
        </w:rPr>
        <w:t>积极推动信息化基础设施建设。2021年全市省级智慧校园总数达到7所，公办学校数创成比例达64%。</w:t>
      </w:r>
      <w:bookmarkEnd w:id="52"/>
      <w:bookmarkEnd w:id="53"/>
      <w:bookmarkEnd w:id="54"/>
      <w:r>
        <w:rPr>
          <w:rFonts w:ascii="仿宋_GB2312" w:eastAsia="仿宋_GB2312" w:cs="仿宋_GB2312"/>
          <w:sz w:val="32"/>
          <w:szCs w:val="32"/>
        </w:rPr>
        <w:t>推动信息化管理平台建设。应用是衡量信息化水平的重要标志，各职业学校重视“信息孤岛”的现象处理，加强数据标准、信息门户、身份认证的统一，强化协同办公、教学管理、学生管理、校企合作、人力资源、财务资产、社会服务等学校各类管理服务融合，实现学校的教学、学生、后勤工作的智慧管理。</w:t>
      </w:r>
    </w:p>
    <w:p>
      <w:pPr>
        <w:spacing w:line="500" w:lineRule="exact"/>
        <w:jc w:val="center"/>
        <w:outlineLvl w:val="1"/>
        <w:rPr>
          <w:rFonts w:ascii="Times New Roman" w:eastAsia="仿宋_GB2312" w:cs="仿宋_GB2312" w:hAnsi="Times New Roman"/>
          <w:sz w:val="24"/>
        </w:rPr>
      </w:pPr>
      <w:bookmarkStart w:id="55" w:name="_Toc84605529"/>
      <w:bookmarkStart w:id="56" w:name="_Toc59566737"/>
      <w:bookmarkStart w:id="57" w:name="_Toc84605488"/>
      <w:r>
        <w:rPr>
          <w:rFonts w:ascii="Times New Roman" w:eastAsia="仿宋_GB2312" w:cs="仿宋_GB2312" w:hAnsi="Times New Roman" w:hint="eastAsia"/>
          <w:sz w:val="24"/>
        </w:rPr>
        <w:t>表3-1：信息化建设情况</w:t>
      </w:r>
      <w:bookmarkEnd w:id="55"/>
      <w:bookmarkEnd w:id="56"/>
      <w:bookmarkEnd w:id="57"/>
    </w:p>
    <w:tbl>
      <w:tblPr>
        <w:jc w:val="center"/>
        <w:tblW w:w="7668"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1563"/>
        <w:gridCol w:w="1677"/>
        <w:gridCol w:w="1476"/>
        <w:gridCol w:w="1476"/>
        <w:gridCol w:w="1476"/>
      </w:tblGrid>
      <w:tr>
        <w:trPr>
          <w:trHeight w:val="95"/>
        </w:trPr>
        <w:tc>
          <w:tcPr>
            <w:tcW w:w="1563" w:type="dxa"/>
            <w:tcBorders>
              <w:top w:val="single" w:sz="8" w:space="0" w:color="4BACC6"/>
              <w:left w:val="single" w:sz="8" w:space="0" w:color="4BACC6"/>
              <w:bottom w:val="single" w:sz="18" w:space="0" w:color="FFFFFF"/>
              <w:right w:val="single" w:sz="4" w:space="0" w:color="FFFFFF"/>
            </w:tcBorders>
            <w:shd w:val="clear" w:color="auto" w:fill="4BACC6"/>
            <w:noWrap/>
            <w:tcMar>
              <w:top w:w="15" w:type="dxa"/>
              <w:left w:w="15" w:type="dxa"/>
              <w:right w:w="15" w:type="dxa"/>
            </w:tcMar>
          </w:tcPr>
          <w:p>
            <w:pPr>
              <w:widowControl/>
              <w:jc w:val="center"/>
              <w:textAlignment w:val="top"/>
              <w:rPr>
                <w:rFonts w:ascii="宋体" w:cs="宋体"/>
                <w:b/>
                <w:bCs/>
                <w:color w:val="FFFFFF"/>
                <w:szCs w:val="21"/>
              </w:rPr>
            </w:pPr>
            <w:r>
              <w:rPr>
                <w:rFonts w:ascii="宋体" w:cs="宋体" w:hint="eastAsia"/>
                <w:b/>
                <w:bCs/>
                <w:color w:val="FFFFFF"/>
                <w:kern w:val="0"/>
                <w:szCs w:val="21"/>
              </w:rPr>
              <w:t>学校</w:t>
            </w:r>
          </w:p>
        </w:tc>
        <w:tc>
          <w:tcPr>
            <w:tcW w:w="1677" w:type="dxa"/>
            <w:tcBorders>
              <w:top w:val="single" w:sz="8" w:space="0" w:color="4BACC6"/>
              <w:left w:val="single" w:sz="4" w:space="0" w:color="FFFFFF"/>
              <w:bottom w:val="single" w:sz="18" w:space="0" w:color="FFFFFF"/>
              <w:right w:val="single" w:sz="4" w:space="0" w:color="FFFFFF"/>
            </w:tcBorders>
            <w:shd w:val="clear" w:color="auto" w:fill="4BACC6"/>
            <w:noWrap/>
            <w:tcMar>
              <w:top w:w="15" w:type="dxa"/>
              <w:left w:w="15" w:type="dxa"/>
              <w:right w:w="15" w:type="dxa"/>
            </w:tcMar>
          </w:tcPr>
          <w:p>
            <w:pPr>
              <w:widowControl/>
              <w:jc w:val="center"/>
              <w:textAlignment w:val="top"/>
              <w:rPr>
                <w:rFonts w:ascii="宋体" w:cs="宋体"/>
                <w:b/>
                <w:bCs/>
                <w:color w:val="FFFFFF"/>
                <w:szCs w:val="21"/>
              </w:rPr>
            </w:pPr>
            <w:r>
              <w:rPr>
                <w:rFonts w:ascii="宋体" w:cs="宋体" w:hint="eastAsia"/>
                <w:b/>
                <w:bCs/>
                <w:color w:val="FFFFFF"/>
                <w:kern w:val="0"/>
                <w:szCs w:val="21"/>
              </w:rPr>
              <w:t>仿真实验室间数</w:t>
            </w:r>
          </w:p>
        </w:tc>
        <w:tc>
          <w:tcPr>
            <w:tcW w:w="1476" w:type="dxa"/>
            <w:tcBorders>
              <w:top w:val="single" w:sz="8" w:space="0" w:color="4BACC6"/>
              <w:left w:val="single" w:sz="4" w:space="0" w:color="FFFFFF"/>
              <w:bottom w:val="single" w:sz="18" w:space="0" w:color="FFFFFF"/>
              <w:right w:val="single" w:sz="4" w:space="0" w:color="FFFFFF"/>
            </w:tcBorders>
            <w:shd w:val="clear" w:color="auto" w:fill="4BACC6"/>
            <w:noWrap/>
            <w:tcMar>
              <w:top w:w="15" w:type="dxa"/>
              <w:left w:w="15" w:type="dxa"/>
              <w:right w:w="15" w:type="dxa"/>
            </w:tcMar>
          </w:tcPr>
          <w:p>
            <w:pPr>
              <w:widowControl/>
              <w:jc w:val="center"/>
              <w:textAlignment w:val="top"/>
              <w:rPr>
                <w:rFonts w:ascii="宋体" w:cs="宋体"/>
                <w:b/>
                <w:bCs/>
                <w:color w:val="FFFFFF"/>
                <w:szCs w:val="21"/>
              </w:rPr>
            </w:pPr>
            <w:r>
              <w:rPr>
                <w:rFonts w:ascii="宋体" w:cs="宋体" w:hint="eastAsia"/>
                <w:b/>
                <w:bCs/>
                <w:color w:val="FFFFFF"/>
                <w:kern w:val="0"/>
                <w:szCs w:val="21"/>
              </w:rPr>
              <w:t>网络课程数</w:t>
            </w:r>
          </w:p>
        </w:tc>
        <w:tc>
          <w:tcPr>
            <w:tcW w:w="1476" w:type="dxa"/>
            <w:tcBorders>
              <w:top w:val="single" w:sz="8" w:space="0" w:color="4BACC6"/>
              <w:left w:val="single" w:sz="4" w:space="0" w:color="FFFFFF"/>
              <w:bottom w:val="single" w:sz="18" w:space="0" w:color="FFFFFF"/>
              <w:right w:val="single" w:sz="4" w:space="0" w:color="FFFFFF"/>
            </w:tcBorders>
            <w:shd w:val="clear" w:color="auto" w:fill="4BACC6"/>
            <w:noWrap/>
            <w:tcMar>
              <w:top w:w="15" w:type="dxa"/>
              <w:left w:w="15" w:type="dxa"/>
              <w:right w:w="15" w:type="dxa"/>
            </w:tcMar>
          </w:tcPr>
          <w:p>
            <w:pPr>
              <w:widowControl/>
              <w:jc w:val="center"/>
              <w:textAlignment w:val="top"/>
              <w:rPr>
                <w:rFonts w:ascii="宋体" w:cs="宋体"/>
                <w:b/>
                <w:bCs/>
                <w:color w:val="FFFFFF"/>
                <w:szCs w:val="21"/>
              </w:rPr>
            </w:pPr>
            <w:r>
              <w:rPr>
                <w:rFonts w:ascii="宋体" w:cs="宋体" w:hint="eastAsia"/>
                <w:b/>
                <w:bCs/>
                <w:color w:val="FFFFFF"/>
                <w:kern w:val="0"/>
                <w:szCs w:val="21"/>
              </w:rPr>
              <w:t>公用计算机数</w:t>
            </w:r>
          </w:p>
        </w:tc>
        <w:tc>
          <w:tcPr>
            <w:tcW w:w="1476" w:type="dxa"/>
            <w:tcBorders>
              <w:top w:val="single" w:sz="8" w:space="0" w:color="4BACC6"/>
              <w:left w:val="single" w:sz="4" w:space="0" w:color="FFFFFF"/>
              <w:bottom w:val="single" w:sz="18" w:space="0" w:color="FFFFFF"/>
              <w:right w:val="single" w:sz="8" w:space="0" w:color="4BACC6"/>
            </w:tcBorders>
            <w:shd w:val="clear" w:color="auto" w:fill="4BACC6"/>
            <w:noWrap/>
            <w:tcMar>
              <w:top w:w="15" w:type="dxa"/>
              <w:left w:w="15" w:type="dxa"/>
              <w:right w:w="15" w:type="dxa"/>
            </w:tcMar>
          </w:tcPr>
          <w:p>
            <w:pPr>
              <w:widowControl/>
              <w:jc w:val="center"/>
              <w:textAlignment w:val="top"/>
              <w:rPr>
                <w:rFonts w:ascii="宋体" w:cs="宋体"/>
                <w:b/>
                <w:bCs/>
                <w:color w:val="FFFFFF"/>
                <w:szCs w:val="21"/>
              </w:rPr>
            </w:pPr>
            <w:r>
              <w:rPr>
                <w:rFonts w:ascii="宋体" w:cs="宋体" w:hint="eastAsia"/>
                <w:b/>
                <w:bCs/>
                <w:color w:val="FFFFFF"/>
                <w:kern w:val="0"/>
                <w:szCs w:val="21"/>
              </w:rPr>
              <w:t>多媒体教室数</w:t>
            </w:r>
          </w:p>
        </w:tc>
      </w:tr>
      <w:tr>
        <w:trPr>
          <w:trHeight w:val="111"/>
        </w:trPr>
        <w:tc>
          <w:tcPr>
            <w:tcW w:w="1563" w:type="dxa"/>
            <w:tcBorders>
              <w:top w:val="single" w:sz="18" w:space="0" w:color="FFFFFF"/>
              <w:left w:val="single" w:sz="8" w:space="0" w:color="4BACC6"/>
              <w:bottom w:val="single" w:sz="8" w:space="0" w:color="4BACC6"/>
              <w:right w:val="single" w:sz="8" w:space="0" w:color="4BACC6"/>
            </w:tcBorders>
            <w:shd w:val="clear" w:color="auto" w:fill="B7DDE8"/>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淮安市高职校</w:t>
            </w:r>
          </w:p>
        </w:tc>
        <w:tc>
          <w:tcPr>
            <w:tcW w:w="1677" w:type="dxa"/>
            <w:tcBorders>
              <w:top w:val="single" w:sz="18" w:space="0" w:color="FFFFFF"/>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3</w:t>
            </w:r>
          </w:p>
        </w:tc>
        <w:tc>
          <w:tcPr>
            <w:tcW w:w="1476" w:type="dxa"/>
            <w:tcBorders>
              <w:top w:val="single" w:sz="18" w:space="0" w:color="FFFFFF"/>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552</w:t>
            </w:r>
          </w:p>
        </w:tc>
        <w:tc>
          <w:tcPr>
            <w:tcW w:w="1476" w:type="dxa"/>
            <w:tcBorders>
              <w:top w:val="single" w:sz="18" w:space="0" w:color="FFFFFF"/>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1300</w:t>
            </w:r>
          </w:p>
        </w:tc>
        <w:tc>
          <w:tcPr>
            <w:tcW w:w="1476" w:type="dxa"/>
            <w:tcBorders>
              <w:top w:val="single" w:sz="18" w:space="0" w:color="FFFFFF"/>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138</w:t>
            </w:r>
          </w:p>
        </w:tc>
      </w:tr>
      <w:tr>
        <w:trPr>
          <w:trHeight w:val="111"/>
        </w:trPr>
        <w:tc>
          <w:tcPr>
            <w:tcW w:w="1563"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淮阴商校</w:t>
            </w:r>
          </w:p>
        </w:tc>
        <w:tc>
          <w:tcPr>
            <w:tcW w:w="1677"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0"/>
                <w:szCs w:val="20"/>
              </w:rPr>
              <w:t>11</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0"/>
                <w:szCs w:val="20"/>
              </w:rPr>
              <w:t>1893</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0"/>
                <w:szCs w:val="20"/>
              </w:rPr>
              <w:t>3550</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0"/>
                <w:szCs w:val="20"/>
              </w:rPr>
              <w:t>196</w:t>
            </w:r>
          </w:p>
        </w:tc>
      </w:tr>
      <w:tr>
        <w:trPr>
          <w:trHeight w:val="111"/>
        </w:trPr>
        <w:tc>
          <w:tcPr>
            <w:tcW w:w="1563"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生物工程学校</w:t>
            </w:r>
          </w:p>
        </w:tc>
        <w:tc>
          <w:tcPr>
            <w:tcW w:w="1677"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10</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246</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1480</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180</w:t>
            </w:r>
          </w:p>
        </w:tc>
      </w:tr>
      <w:tr>
        <w:trPr>
          <w:trHeight w:val="111"/>
        </w:trPr>
        <w:tc>
          <w:tcPr>
            <w:tcW w:w="1563"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淮安体校</w:t>
            </w:r>
          </w:p>
        </w:tc>
        <w:tc>
          <w:tcPr>
            <w:tcW w:w="1677"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0</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0</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195</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43</w:t>
            </w:r>
          </w:p>
        </w:tc>
      </w:tr>
      <w:tr>
        <w:trPr>
          <w:trHeight w:val="111"/>
        </w:trPr>
        <w:tc>
          <w:tcPr>
            <w:tcW w:w="1563"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淮安艺校</w:t>
            </w:r>
          </w:p>
        </w:tc>
        <w:tc>
          <w:tcPr>
            <w:tcW w:w="1677"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8</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75</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1690</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88</w:t>
            </w:r>
          </w:p>
        </w:tc>
      </w:tr>
      <w:tr>
        <w:trPr>
          <w:trHeight w:val="111"/>
        </w:trPr>
        <w:tc>
          <w:tcPr>
            <w:tcW w:w="1563"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工业中专</w:t>
            </w:r>
          </w:p>
        </w:tc>
        <w:tc>
          <w:tcPr>
            <w:tcW w:w="1677"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4</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457</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650</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4</w:t>
            </w:r>
          </w:p>
        </w:tc>
      </w:tr>
      <w:tr>
        <w:trPr>
          <w:trHeight w:val="111"/>
        </w:trPr>
        <w:tc>
          <w:tcPr>
            <w:tcW w:w="1563"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金湖中专</w:t>
            </w:r>
          </w:p>
        </w:tc>
        <w:tc>
          <w:tcPr>
            <w:tcW w:w="1677"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0</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155</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1143</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54</w:t>
            </w:r>
          </w:p>
        </w:tc>
      </w:tr>
      <w:tr>
        <w:trPr>
          <w:trHeight w:val="111"/>
        </w:trPr>
        <w:tc>
          <w:tcPr>
            <w:tcW w:w="1563"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淮阴中专</w:t>
            </w:r>
          </w:p>
        </w:tc>
        <w:tc>
          <w:tcPr>
            <w:tcW w:w="1677"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6</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920</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59</w:t>
            </w:r>
          </w:p>
        </w:tc>
      </w:tr>
      <w:tr>
        <w:trPr>
          <w:trHeight w:val="111"/>
        </w:trPr>
        <w:tc>
          <w:tcPr>
            <w:tcW w:w="1563"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洪泽中专</w:t>
            </w:r>
          </w:p>
        </w:tc>
        <w:tc>
          <w:tcPr>
            <w:tcW w:w="1677"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6</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11</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7105</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151</w:t>
            </w:r>
          </w:p>
        </w:tc>
      </w:tr>
      <w:tr>
        <w:trPr>
          <w:trHeight w:val="111"/>
        </w:trPr>
        <w:tc>
          <w:tcPr>
            <w:tcW w:w="1563"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涟水中专</w:t>
            </w:r>
          </w:p>
        </w:tc>
        <w:tc>
          <w:tcPr>
            <w:tcW w:w="1677"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0</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211</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32</w:t>
            </w:r>
          </w:p>
        </w:tc>
      </w:tr>
      <w:tr>
        <w:trPr>
          <w:trHeight w:val="111"/>
        </w:trPr>
        <w:tc>
          <w:tcPr>
            <w:tcW w:w="1563"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盱眙中专</w:t>
            </w:r>
          </w:p>
        </w:tc>
        <w:tc>
          <w:tcPr>
            <w:tcW w:w="1677"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4</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5</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143</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3</w:t>
            </w:r>
          </w:p>
        </w:tc>
      </w:tr>
      <w:tr>
        <w:trPr>
          <w:trHeight w:val="111"/>
        </w:trPr>
        <w:tc>
          <w:tcPr>
            <w:tcW w:w="1563"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辅仁学校</w:t>
            </w:r>
          </w:p>
        </w:tc>
        <w:tc>
          <w:tcPr>
            <w:tcW w:w="1677"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0</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0</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320</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32</w:t>
            </w:r>
          </w:p>
        </w:tc>
      </w:tr>
      <w:tr>
        <w:trPr>
          <w:trHeight w:val="111"/>
        </w:trPr>
        <w:tc>
          <w:tcPr>
            <w:tcW w:w="1563"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华丰学校</w:t>
            </w:r>
          </w:p>
        </w:tc>
        <w:tc>
          <w:tcPr>
            <w:tcW w:w="1677"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7</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18</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860</w:t>
            </w:r>
          </w:p>
        </w:tc>
        <w:tc>
          <w:tcPr>
            <w:tcW w:w="1476" w:type="dxa"/>
            <w:tcBorders>
              <w:top w:val="single" w:sz="8" w:space="0" w:color="4BACC6"/>
              <w:left w:val="single" w:sz="8" w:space="0" w:color="4BACC6"/>
              <w:bottom w:val="single" w:sz="8" w:space="0" w:color="4BACC6"/>
              <w:right w:val="single" w:sz="8" w:space="0" w:color="4BACC6"/>
            </w:tcBorders>
            <w:shd w:val="clear" w:color="auto" w:fill="B7DDE8"/>
            <w:noWrap/>
            <w:tcMar>
              <w:top w:w="15" w:type="dxa"/>
              <w:left w:w="15" w:type="dxa"/>
              <w:right w:w="15" w:type="dxa"/>
            </w:tcMar>
            <w:vAlign w:val="center"/>
          </w:tcPr>
          <w:p>
            <w:pPr>
              <w:widowControl/>
              <w:jc w:val="center"/>
              <w:textAlignment w:val="center"/>
              <w:rPr>
                <w:rFonts w:ascii="宋体" w:cs="宋体"/>
                <w:color w:val="000000"/>
                <w:szCs w:val="21"/>
              </w:rPr>
            </w:pPr>
            <w:r>
              <w:rPr>
                <w:rFonts w:ascii="宋体" w:cs="宋体" w:hint="eastAsia"/>
                <w:color w:val="000000"/>
                <w:kern w:val="0"/>
                <w:sz w:val="22"/>
                <w:szCs w:val="22"/>
              </w:rPr>
              <w:t>115</w:t>
            </w:r>
          </w:p>
        </w:tc>
      </w:tr>
      <w:tr>
        <w:trPr>
          <w:trHeight w:val="115"/>
        </w:trPr>
        <w:tc>
          <w:tcPr>
            <w:tcW w:w="1563"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总计</w:t>
            </w:r>
          </w:p>
        </w:tc>
        <w:tc>
          <w:tcPr>
            <w:tcW w:w="1677"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60</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3413</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19450</w:t>
            </w:r>
          </w:p>
        </w:tc>
        <w:tc>
          <w:tcPr>
            <w:tcW w:w="1476" w:type="dxa"/>
            <w:tcBorders>
              <w:top w:val="single" w:sz="8" w:space="0" w:color="4BACC6"/>
              <w:left w:val="single" w:sz="8" w:space="0" w:color="4BACC6"/>
              <w:bottom w:val="single" w:sz="8" w:space="0" w:color="4BACC6"/>
              <w:right w:val="single" w:sz="8" w:space="0" w:color="4BACC6"/>
            </w:tcBorders>
            <w:shd w:val="clear" w:color="auto" w:fill="FFFFFF"/>
            <w:noWrap/>
            <w:tcMar>
              <w:top w:w="15" w:type="dxa"/>
              <w:left w:w="15" w:type="dxa"/>
              <w:right w:w="15" w:type="dxa"/>
            </w:tcMar>
          </w:tcPr>
          <w:p>
            <w:pPr>
              <w:widowControl/>
              <w:jc w:val="center"/>
              <w:textAlignment w:val="top"/>
              <w:rPr>
                <w:rFonts w:ascii="宋体" w:cs="宋体"/>
                <w:color w:val="000000"/>
                <w:szCs w:val="21"/>
              </w:rPr>
            </w:pPr>
            <w:r>
              <w:rPr>
                <w:rFonts w:ascii="宋体" w:cs="宋体" w:hint="eastAsia"/>
                <w:color w:val="000000"/>
                <w:kern w:val="0"/>
                <w:szCs w:val="21"/>
              </w:rPr>
              <w:t>1095</w:t>
            </w:r>
          </w:p>
        </w:tc>
      </w:tr>
    </w:tbl>
    <w:p>
      <w:pPr>
        <w:ind w:firstLineChars="200" w:firstLine="640"/>
      </w:pPr>
      <w:r>
        <w:rPr>
          <w:rFonts w:ascii="仿宋_GB2312" w:eastAsia="仿宋_GB2312" w:cs="仿宋_GB2312" w:hint="eastAsia"/>
          <w:sz w:val="32"/>
          <w:szCs w:val="32"/>
          <w:lang w:val="en-US" w:eastAsia="zh-CN"/>
        </w:rPr>
        <w:t>提升课堂教学质量。</w:t>
      </w:r>
      <w:r>
        <w:rPr>
          <w:rFonts w:ascii="仿宋_GB2312" w:eastAsia="仿宋_GB2312" w:cs="仿宋_GB2312"/>
          <w:sz w:val="32"/>
          <w:szCs w:val="32"/>
        </w:rPr>
        <w:t>各职业学校能积极开展线上线下混合式课堂教学模式的研究，并积极开展项目教学、探究式教学课堂示范课活动。聚焦课堂，分别在淮阴中专和淮安生物工程高等职业学校举办淮安市职业学校 “课堂开放日”活动，全市上千名教师参加了现场和线上听课、评课活动，有力促进淮安职教“有效课堂”建设，培育一批起示范引领作用的职教课堂。</w:t>
      </w:r>
    </w:p>
    <w:p>
      <w:pPr>
        <w:ind w:firstLineChars="200" w:firstLine="640"/>
        <w:rPr>
          <w:rFonts w:ascii="仿宋_GB2312" w:eastAsia="仿宋_GB2312" w:cs="仿宋_GB2312"/>
          <w:sz w:val="32"/>
          <w:szCs w:val="32"/>
        </w:rPr>
      </w:pPr>
      <w:r>
        <w:rPr>
          <w:rFonts w:ascii="仿宋_GB2312" w:eastAsia="仿宋_GB2312" w:cs="仿宋_GB2312"/>
          <w:sz w:val="32"/>
          <w:szCs w:val="32"/>
        </w:rPr>
        <w:t>举办全市职业学校教学大赛</w:t>
      </w:r>
      <w:r>
        <w:rPr>
          <w:rFonts w:ascii="仿宋_GB2312" w:eastAsia="仿宋_GB2312" w:cs="仿宋_GB2312" w:hint="eastAsia"/>
          <w:sz w:val="32"/>
          <w:szCs w:val="32"/>
          <w:lang w:eastAsia="zh-CN"/>
        </w:rPr>
        <w:t>。</w:t>
      </w:r>
      <w:r>
        <w:rPr>
          <w:rFonts w:ascii="仿宋_GB2312" w:eastAsia="仿宋_GB2312" w:cs="仿宋_GB2312"/>
          <w:sz w:val="32"/>
          <w:szCs w:val="32"/>
        </w:rPr>
        <w:t>全市职业学校分16个学科和专业类别，157个团队、544名选手参加初评；100个团队、345名选手参加现场决赛，最终产生50个团队代表淮安参加省赛。组织入围省赛选手分8个备赛团队集训，邀请高水平专家指导，并获一等奖1个，二等奖15个，三等奖10个，奖牌数全省第七、一等奖数全省第九、二等奖数全省第三、总分全省第九。</w:t>
      </w:r>
    </w:p>
    <w:p>
      <w:pPr>
        <w:ind w:firstLineChars="200" w:firstLine="640"/>
        <w:rPr>
          <w:rFonts w:ascii="仿宋_GB2312" w:eastAsia="仿宋_GB2312" w:cs="仿宋_GB2312"/>
          <w:kern w:val="2"/>
          <w:sz w:val="32"/>
          <w:szCs w:val="32"/>
        </w:rPr>
      </w:pPr>
      <w:r>
        <w:rPr>
          <w:rFonts w:ascii="仿宋_GB2312" w:eastAsia="仿宋_GB2312" w:cs="仿宋_GB2312" w:hint="eastAsia"/>
          <w:kern w:val="2"/>
          <w:sz w:val="32"/>
          <w:szCs w:val="32"/>
        </w:rPr>
        <w:t>积极推进1+X证书试点工作</w:t>
      </w:r>
      <w:r>
        <w:rPr>
          <w:rFonts w:ascii="仿宋_GB2312" w:eastAsia="仿宋_GB2312" w:cs="仿宋_GB2312" w:hint="eastAsia"/>
          <w:kern w:val="2"/>
          <w:sz w:val="32"/>
          <w:szCs w:val="32"/>
          <w:lang w:eastAsia="zh-CN"/>
        </w:rPr>
        <w:t>。</w:t>
      </w:r>
      <w:r>
        <w:rPr>
          <w:rFonts w:ascii="仿宋_GB2312" w:eastAsia="仿宋_GB2312" w:cs="仿宋_GB2312" w:hint="eastAsia"/>
          <w:kern w:val="2"/>
          <w:sz w:val="32"/>
          <w:szCs w:val="32"/>
        </w:rPr>
        <w:t>在第三批证书试点项目申报中，共获批2</w:t>
      </w:r>
      <w:r>
        <w:rPr>
          <w:rFonts w:ascii="仿宋_GB2312" w:eastAsia="仿宋_GB2312" w:cs="仿宋_GB2312"/>
          <w:kern w:val="2"/>
          <w:sz w:val="32"/>
          <w:szCs w:val="32"/>
        </w:rPr>
        <w:t>4</w:t>
      </w:r>
      <w:r>
        <w:rPr>
          <w:rFonts w:ascii="仿宋_GB2312" w:eastAsia="仿宋_GB2312" w:cs="仿宋_GB2312" w:hint="eastAsia"/>
          <w:kern w:val="2"/>
          <w:sz w:val="32"/>
          <w:szCs w:val="32"/>
        </w:rPr>
        <w:t>个项目，比前两批有较大幅度的提升。全市</w:t>
      </w:r>
      <w:r>
        <w:rPr>
          <w:rFonts w:ascii="仿宋_GB2312" w:eastAsia="仿宋_GB2312" w:cs="仿宋_GB2312" w:hint="eastAsia"/>
          <w:kern w:val="2"/>
          <w:sz w:val="32"/>
          <w:szCs w:val="32"/>
          <w:lang w:val="en-US" w:eastAsia="zh-CN"/>
        </w:rPr>
        <w:t>累计</w:t>
      </w:r>
      <w:r>
        <w:rPr>
          <w:rFonts w:ascii="仿宋_GB2312" w:eastAsia="仿宋_GB2312" w:cs="仿宋_GB2312" w:hint="eastAsia"/>
          <w:kern w:val="2"/>
          <w:sz w:val="32"/>
          <w:szCs w:val="32"/>
        </w:rPr>
        <w:t>获批1+X证书试点</w:t>
      </w:r>
      <w:r>
        <w:rPr>
          <w:rFonts w:ascii="仿宋_GB2312" w:eastAsia="仿宋_GB2312" w:cs="仿宋_GB2312"/>
          <w:kern w:val="2"/>
          <w:sz w:val="32"/>
          <w:szCs w:val="32"/>
        </w:rPr>
        <w:t>42个</w:t>
      </w:r>
      <w:r>
        <w:rPr>
          <w:rFonts w:ascii="仿宋_GB2312" w:eastAsia="仿宋_GB2312" w:cs="仿宋_GB2312" w:hint="eastAsia"/>
          <w:kern w:val="2"/>
          <w:sz w:val="32"/>
          <w:szCs w:val="32"/>
        </w:rPr>
        <w:t>，各职业学校积极进行试点项目的跟进，组织学生进行考证工作的集训、考试。目前大部分项目均已</w:t>
      </w:r>
      <w:r>
        <w:rPr>
          <w:rFonts w:ascii="仿宋_GB2312" w:eastAsia="仿宋_GB2312" w:cs="仿宋_GB2312"/>
          <w:kern w:val="2"/>
          <w:sz w:val="32"/>
          <w:szCs w:val="32"/>
        </w:rPr>
        <w:t>实施</w:t>
      </w:r>
      <w:r>
        <w:rPr>
          <w:rFonts w:ascii="仿宋_GB2312" w:eastAsia="仿宋_GB2312" w:cs="仿宋_GB2312" w:hint="eastAsia"/>
          <w:kern w:val="2"/>
          <w:sz w:val="32"/>
          <w:szCs w:val="32"/>
        </w:rPr>
        <w:t>部分学生考证的试点工作</w:t>
      </w:r>
      <w:r>
        <w:rPr>
          <w:rFonts w:ascii="仿宋_GB2312" w:eastAsia="仿宋_GB2312" w:cs="仿宋_GB2312"/>
          <w:kern w:val="2"/>
          <w:sz w:val="32"/>
          <w:szCs w:val="32"/>
        </w:rPr>
        <w:t>。</w:t>
      </w:r>
    </w:p>
    <w:p>
      <w:pPr>
        <w:pStyle w:val="23"/>
        <w:spacing w:beforeAutospacing="0" w:afterAutospacing="0" w:line="560" w:lineRule="exact"/>
        <w:ind w:firstLineChars="200" w:firstLine="640"/>
        <w:outlineLvl w:val="1"/>
        <w:rPr>
          <w:rFonts w:ascii="Times New Roman" w:eastAsia="仿宋_GB2312" w:hAnsi="Times New Roman"/>
          <w:b/>
          <w:bCs/>
          <w:sz w:val="32"/>
          <w:szCs w:val="32"/>
          <w:shd w:val="clear" w:color="auto" w:fill="FFFFFF"/>
        </w:rPr>
      </w:pPr>
      <w:bookmarkStart w:id="58" w:name="_Toc84605530"/>
      <w:bookmarkStart w:id="59" w:name="_Toc14649"/>
      <w:bookmarkStart w:id="60" w:name="_Toc32151"/>
      <w:r>
        <w:rPr>
          <w:rFonts w:ascii="Times New Roman" w:eastAsia="仿宋_GB2312" w:hAnsi="Times New Roman"/>
          <w:b/>
          <w:bCs/>
          <w:sz w:val="32"/>
          <w:szCs w:val="32"/>
          <w:shd w:val="clear" w:color="auto" w:fill="FFFFFF"/>
        </w:rPr>
        <w:t>3.3 队伍建设</w:t>
      </w:r>
      <w:bookmarkEnd w:id="58"/>
      <w:bookmarkEnd w:id="59"/>
      <w:bookmarkEnd w:id="60"/>
    </w:p>
    <w:p>
      <w:pPr>
        <w:ind w:firstLineChars="200" w:firstLine="640"/>
        <w:rPr>
          <w:rFonts w:eastAsia="仿宋_GB2312"/>
          <w:sz w:val="32"/>
          <w:szCs w:val="32"/>
          <w:lang w:val="en-US" w:eastAsia="zh-CN"/>
        </w:rPr>
      </w:pPr>
      <w:r>
        <w:rPr>
          <w:rFonts w:ascii="Times New Roman" w:eastAsia="仿宋_GB2312" w:cs="仿宋_GB2312" w:hAnsi="Times New Roman" w:hint="eastAsia"/>
          <w:sz w:val="32"/>
          <w:szCs w:val="32"/>
          <w:lang w:val="en-US" w:eastAsia="zh-CN"/>
        </w:rPr>
        <w:t>逐年壮大</w:t>
      </w:r>
      <w:r>
        <w:rPr>
          <w:rFonts w:ascii="Times New Roman" w:eastAsia="仿宋_GB2312" w:cs="仿宋_GB2312" w:hAnsi="Times New Roman" w:hint="eastAsia"/>
          <w:sz w:val="32"/>
          <w:szCs w:val="32"/>
        </w:rPr>
        <w:t>兼职教师</w:t>
      </w:r>
      <w:r>
        <w:rPr>
          <w:rFonts w:ascii="Times New Roman" w:eastAsia="仿宋_GB2312" w:cs="仿宋_GB2312" w:hAnsi="Times New Roman" w:hint="eastAsia"/>
          <w:sz w:val="32"/>
          <w:szCs w:val="32"/>
          <w:lang w:val="en-US" w:eastAsia="zh-CN"/>
        </w:rPr>
        <w:t>队伍</w:t>
      </w:r>
      <w:r>
        <w:rPr>
          <w:rFonts w:ascii="Times New Roman" w:eastAsia="仿宋_GB2312" w:cs="仿宋_GB2312" w:hAnsi="Times New Roman" w:hint="eastAsia"/>
          <w:sz w:val="32"/>
          <w:szCs w:val="32"/>
        </w:rPr>
        <w:t>。市教育局</w:t>
      </w:r>
      <w:r>
        <w:rPr>
          <w:rFonts w:ascii="仿宋_GB2312" w:eastAsia="仿宋_GB2312" w:cs="仿宋_GB2312"/>
          <w:sz w:val="32"/>
          <w:szCs w:val="32"/>
        </w:rPr>
        <w:t>组织全市中职学校申报省兼职教师专项奖补资金，</w:t>
      </w:r>
      <w:r>
        <w:rPr>
          <w:rFonts w:eastAsia="仿宋_GB2312"/>
          <w:sz w:val="32"/>
          <w:szCs w:val="32"/>
        </w:rPr>
        <w:t>专项用于兼职教师课酬补助和相关工作经费</w:t>
      </w:r>
      <w:r>
        <w:rPr>
          <w:rFonts w:eastAsia="仿宋_GB2312" w:hint="eastAsia"/>
          <w:sz w:val="32"/>
          <w:szCs w:val="32"/>
        </w:rPr>
        <w:t>。</w:t>
      </w:r>
      <w:r>
        <w:rPr>
          <w:rFonts w:eastAsia="仿宋_GB2312" w:hint="eastAsia"/>
          <w:sz w:val="32"/>
          <w:szCs w:val="32"/>
          <w:lang w:val="en-US" w:eastAsia="zh-CN"/>
        </w:rPr>
        <w:t>近3</w:t>
      </w:r>
      <w:r>
        <w:rPr>
          <w:rFonts w:eastAsia="仿宋_GB2312"/>
          <w:sz w:val="32"/>
          <w:szCs w:val="32"/>
        </w:rPr>
        <w:t>年，全市共有77名兼职教师共获得奖补资金138万元。</w:t>
      </w:r>
      <w:r>
        <w:rPr>
          <w:rFonts w:eastAsia="仿宋_GB2312"/>
          <w:sz w:val="32"/>
          <w:szCs w:val="32"/>
          <w:lang w:val="en-US" w:eastAsia="zh-CN"/>
        </w:rPr>
        <w:t>2021</w:t>
      </w:r>
      <w:r>
        <w:rPr>
          <w:rFonts w:eastAsia="仿宋_GB2312" w:hint="eastAsia"/>
          <w:sz w:val="32"/>
          <w:szCs w:val="32"/>
          <w:lang w:val="en-US" w:eastAsia="zh-CN"/>
        </w:rPr>
        <w:t>年度兼职教师</w:t>
      </w:r>
      <w:r>
        <w:rPr>
          <w:rFonts w:eastAsia="仿宋_GB2312"/>
          <w:sz w:val="32"/>
          <w:szCs w:val="32"/>
          <w:lang w:val="en-US" w:eastAsia="zh-CN"/>
        </w:rPr>
        <w:t>16名，获奖补资金16万元。</w:t>
      </w:r>
    </w:p>
    <w:p>
      <w:pPr>
        <w:pStyle w:val="18"/>
        <w:ind w:leftChars="0" w:left="0" w:firstLineChars="200" w:firstLine="640"/>
        <w:rPr>
          <w:rFonts w:ascii="Calibri" w:eastAsia="仿宋_GB2312" w:hAnsi="Calibri"/>
          <w:sz w:val="32"/>
          <w:szCs w:val="32"/>
          <w:lang w:val="en-US" w:eastAsia="zh-CN"/>
        </w:rPr>
      </w:pPr>
      <w:r>
        <w:rPr>
          <w:rFonts w:ascii="Calibri" w:eastAsia="仿宋_GB2312" w:hAnsi="Calibri" w:hint="eastAsia"/>
          <w:sz w:val="32"/>
          <w:szCs w:val="32"/>
          <w:lang w:val="en-US" w:eastAsia="zh-CN"/>
        </w:rPr>
        <w:t>推进教师团队发展。</w:t>
      </w:r>
      <w:r>
        <w:rPr>
          <w:rFonts w:ascii="Calibri" w:eastAsia="仿宋_GB2312" w:hAnsi="Calibri" w:hint="eastAsia"/>
          <w:sz w:val="32"/>
          <w:szCs w:val="32"/>
        </w:rPr>
        <w:t>在专业建设、技能大赛、教学能力大赛中，各职业学校积极推进团队建设，多所学校创建名师工作室、技能工作室、专业建设团队等，重视教师的团队建设，以团队建设带动教师的培养和发展。</w:t>
      </w:r>
      <w:r>
        <w:rPr>
          <w:rFonts w:ascii="Calibri" w:eastAsia="仿宋_GB2312" w:hAnsi="Calibri"/>
          <w:sz w:val="32"/>
          <w:szCs w:val="32"/>
        </w:rPr>
        <w:t>开展38个</w:t>
      </w:r>
      <w:r>
        <w:rPr>
          <w:rFonts w:ascii="Calibri" w:eastAsia="仿宋_GB2312" w:hAnsi="Calibri" w:hint="eastAsia"/>
          <w:sz w:val="32"/>
          <w:szCs w:val="32"/>
          <w:lang w:val="en-US" w:eastAsia="zh-CN"/>
        </w:rPr>
        <w:t>市级</w:t>
      </w:r>
      <w:r>
        <w:rPr>
          <w:rFonts w:ascii="Calibri" w:eastAsia="仿宋_GB2312" w:hAnsi="Calibri"/>
          <w:sz w:val="32"/>
          <w:szCs w:val="32"/>
        </w:rPr>
        <w:t>名师工作室的建设考核，对工作室建设过程、取得实效进行过程性监督，本年度共有2个职教名师工作室获得考核优秀等次，</w:t>
      </w:r>
      <w:r>
        <w:rPr>
          <w:rFonts w:ascii="Calibri" w:eastAsia="仿宋_GB2312" w:hAnsi="Calibri" w:hint="eastAsia"/>
          <w:sz w:val="32"/>
          <w:szCs w:val="32"/>
          <w:lang w:val="en-US" w:eastAsia="zh-CN"/>
        </w:rPr>
        <w:t>2个团队入选省职教创新教学团队培育单位。</w:t>
      </w:r>
    </w:p>
    <w:p>
      <w:pPr>
        <w:spacing w:line="560" w:lineRule="exact"/>
        <w:ind w:firstLineChars="200" w:firstLine="640"/>
        <w:rPr>
          <w:rFonts w:ascii="仿宋_GB2312" w:eastAsia="仿宋_GB2312" w:cs="仿宋_GB2312"/>
          <w:sz w:val="32"/>
          <w:szCs w:val="32"/>
        </w:rPr>
      </w:pPr>
      <w:r>
        <w:rPr>
          <w:rFonts w:ascii="仿宋_GB2312" w:eastAsia="仿宋_GB2312" w:cs="仿宋_GB2312" w:hint="eastAsia"/>
          <w:sz w:val="32"/>
          <w:szCs w:val="32"/>
          <w:lang w:val="en-US" w:eastAsia="zh-CN"/>
        </w:rPr>
        <w:t>做好各类教师培训。</w:t>
      </w:r>
      <w:r>
        <w:rPr>
          <w:rFonts w:ascii="仿宋_GB2312" w:eastAsia="仿宋_GB2312" w:cs="仿宋_GB2312"/>
          <w:sz w:val="32"/>
          <w:szCs w:val="32"/>
        </w:rPr>
        <w:t>先后多次组织线下教师课堂教学能力提升培训、线上“淮安中职学校名师讲堂”，全市各职业学校教师积极参与。在2021年度国培、省培中，开展了各个专业学科教师教学科研能力培训活动的申报，同时对新教师进行专项培训。</w:t>
      </w:r>
    </w:p>
    <w:p>
      <w:pPr>
        <w:tabs>
          <w:tab w:val="left" w:pos="1060"/>
        </w:tabs>
        <w:ind w:firstLineChars="200" w:firstLine="640"/>
        <w:outlineLvl w:val="1"/>
        <w:rPr>
          <w:rFonts w:ascii="仿宋_GB2312" w:eastAsia="仿宋_GB2312" w:cs="仿宋_GB2312"/>
          <w:sz w:val="32"/>
          <w:szCs w:val="32"/>
        </w:rPr>
      </w:pPr>
      <w:bookmarkStart w:id="61" w:name="_Toc84605531"/>
      <w:bookmarkStart w:id="62" w:name="_Toc84605490"/>
      <w:bookmarkEnd w:id="44"/>
      <w:r>
        <w:rPr>
          <w:rFonts w:ascii="仿宋_GB2312" w:eastAsia="仿宋_GB2312" w:cs="仿宋_GB2312"/>
          <w:sz w:val="32"/>
          <w:szCs w:val="32"/>
        </w:rPr>
        <w:t>推动职业院校落实专业课教师每五年到相关企业或生产服务一线实践不少于6个月的要求。合作企业精心挑选企业导师，提供食宿便利，部分企业支持教师参与企业产品开发、项目生产，让教师在真实环境中感悟企业精神、提升实操能力。2019-2020学年、2020-2021学年全市中职学校进企业锻炼人数分别为808人、878人，进企业锻炼总天数分别为31566人日、31992人日，目前全市中职学校双师型教师占比79.18%。</w:t>
      </w:r>
      <w:bookmarkEnd w:id="61"/>
      <w:bookmarkEnd w:id="62"/>
    </w:p>
    <w:p>
      <w:pPr>
        <w:tabs>
          <w:tab w:val="left" w:pos="1060"/>
        </w:tabs>
        <w:ind w:firstLineChars="200" w:firstLine="640"/>
        <w:outlineLvl w:val="1"/>
        <w:rPr>
          <w:rFonts w:ascii="仿宋_GB2312" w:eastAsia="仿宋_GB2312" w:cs="仿宋_GB2312"/>
          <w:b/>
          <w:bCs/>
          <w:sz w:val="32"/>
          <w:szCs w:val="32"/>
        </w:rPr>
      </w:pPr>
      <w:bookmarkStart w:id="63" w:name="_Toc84605532"/>
      <w:r>
        <w:rPr>
          <w:rFonts w:ascii="仿宋_GB2312" w:eastAsia="仿宋_GB2312" w:cs="仿宋_GB2312"/>
          <w:b/>
          <w:bCs/>
          <w:sz w:val="32"/>
          <w:szCs w:val="32"/>
        </w:rPr>
        <w:t>3.4</w:t>
      </w:r>
      <w:r>
        <w:rPr>
          <w:rFonts w:ascii="仿宋_GB2312" w:eastAsia="仿宋_GB2312" w:cs="仿宋_GB2312" w:hint="eastAsia"/>
          <w:b/>
          <w:bCs/>
          <w:sz w:val="32"/>
          <w:szCs w:val="32"/>
        </w:rPr>
        <w:t>质量保证</w:t>
      </w:r>
      <w:bookmarkEnd w:id="63"/>
    </w:p>
    <w:p>
      <w:pPr>
        <w:tabs>
          <w:tab w:val="left" w:pos="1060"/>
        </w:tabs>
        <w:ind w:firstLineChars="200" w:firstLine="640"/>
        <w:rPr>
          <w:rFonts w:ascii="仿宋_GB2312" w:eastAsia="仿宋_GB2312" w:cs="仿宋_GB2312"/>
          <w:sz w:val="32"/>
          <w:szCs w:val="32"/>
        </w:rPr>
      </w:pPr>
      <w:r>
        <w:rPr>
          <w:rFonts w:ascii="仿宋_GB2312" w:eastAsia="仿宋_GB2312" w:cs="仿宋_GB2312" w:hint="eastAsia"/>
          <w:sz w:val="32"/>
          <w:szCs w:val="32"/>
          <w:lang w:val="en-US" w:eastAsia="zh-CN"/>
        </w:rPr>
        <w:t>落实人才培养标准。</w:t>
      </w:r>
      <w:r>
        <w:rPr>
          <w:rFonts w:ascii="仿宋_GB2312" w:eastAsia="仿宋_GB2312" w:cs="仿宋_GB2312"/>
          <w:sz w:val="32"/>
          <w:szCs w:val="32"/>
        </w:rPr>
        <w:t>各职业学校能严格遵照国家、省市要求开展地方企业、行业调研，在充分调研的基础上进行人才培养方案的制定、专家论证，完成的人才培养方案均能在各学校网站进行公示。各学校能要求教师紧跟新课程标准步伐，开展“学标、用标、贯标”示范课活动，2021 年度，全市满额申报参加了省市课标培训活动，将培训学习落实到实处，让所有教师“标在心中，标在课中”。</w:t>
      </w:r>
    </w:p>
    <w:p>
      <w:pPr>
        <w:tabs>
          <w:tab w:val="left" w:pos="1060"/>
        </w:tabs>
        <w:ind w:firstLineChars="200" w:firstLine="640"/>
        <w:rPr>
          <w:rFonts w:ascii="仿宋_GB2312" w:eastAsia="仿宋_GB2312" w:cs="仿宋_GB2312"/>
          <w:sz w:val="32"/>
          <w:szCs w:val="32"/>
          <w:lang w:val="en-US" w:eastAsia="zh-CN"/>
        </w:rPr>
      </w:pPr>
      <w:r>
        <w:rPr>
          <w:rFonts w:ascii="仿宋_GB2312" w:eastAsia="仿宋_GB2312" w:cs="仿宋_GB2312" w:hint="eastAsia"/>
          <w:sz w:val="32"/>
          <w:szCs w:val="32"/>
          <w:lang w:val="en-US" w:eastAsia="zh-CN"/>
        </w:rPr>
        <w:t>构建过程监管体系。</w:t>
      </w:r>
      <w:r>
        <w:rPr>
          <w:rFonts w:ascii="仿宋_GB2312" w:eastAsia="仿宋_GB2312" w:cs="仿宋_GB2312"/>
          <w:sz w:val="32"/>
          <w:szCs w:val="32"/>
        </w:rPr>
        <w:t>各职业学校积极对照《省教育厅关于建立职业学校教学质量保障体系的意见》《江苏省五年制高等职业教育专业设置办法（试行）》《江苏省中等职业教育和五年制高等职业教育专业建设标准》等文件要求，积极构建和完善教学质量保障体系，开展教学诊断改进工作，推进学校教学工作质量的提升。</w:t>
      </w:r>
      <w:r>
        <w:rPr>
          <w:rFonts w:ascii="仿宋_GB2312" w:eastAsia="仿宋_GB2312" w:cs="仿宋_GB2312" w:hint="eastAsia"/>
          <w:sz w:val="32"/>
          <w:szCs w:val="32"/>
          <w:lang w:val="en-US" w:eastAsia="zh-CN"/>
        </w:rPr>
        <w:t>市教育局每学年组织开展专项视导，督促指导学校加强内部质量保障。每年开展中职学校高质量考核，抓住教学常规、校企合作、人才培养等几个方面对学校进行考核。</w:t>
      </w:r>
    </w:p>
    <w:p>
      <w:pPr>
        <w:tabs>
          <w:tab w:val="left" w:pos="1060"/>
        </w:tabs>
        <w:ind w:firstLineChars="200" w:firstLine="640"/>
        <w:rPr>
          <w:rFonts w:ascii="仿宋_GB2312" w:eastAsia="仿宋_GB2312" w:cs="仿宋_GB2312"/>
          <w:sz w:val="32"/>
          <w:szCs w:val="32"/>
        </w:rPr>
      </w:pPr>
      <w:r>
        <w:rPr>
          <w:rFonts w:ascii="仿宋_GB2312" w:eastAsia="仿宋_GB2312" w:cs="仿宋_GB2312" w:hint="eastAsia"/>
          <w:sz w:val="32"/>
          <w:szCs w:val="32"/>
          <w:lang w:val="en-US" w:eastAsia="zh-CN"/>
        </w:rPr>
        <w:t>把好学生出口关。</w:t>
      </w:r>
      <w:r>
        <w:rPr>
          <w:rFonts w:ascii="仿宋_GB2312" w:eastAsia="仿宋_GB2312" w:cs="仿宋_GB2312"/>
          <w:sz w:val="32"/>
          <w:szCs w:val="32"/>
        </w:rPr>
        <w:t>优化学业水平考试工作机制。印发《市教育局关于进一步做好中等职业学校学生学业水平考试工作的通知》，成立了学考工作领导小组，职社处、职教教研室、考试院、财务处等处室负责人担任小组成员，明确学业水平考试各项工作职责，工作统筹协调更加流畅。提高学业水平考试信度和效度。组织各校认真学习各专业大类教学标准，指导督促根据教学标准规范教学组织，并对标找差。加强学业水平考试结果运用，开展成绩分析，统计参考率、合格率等指标，对各校进行点评。</w:t>
      </w:r>
    </w:p>
    <w:p>
      <w:pPr>
        <w:pStyle w:val="18"/>
      </w:pPr>
      <w:r>
        <w:drawing>
          <wp:inline distT="0" distB="0" distL="114300" distR="114300">
            <wp:extent cx="5176423" cy="2547800"/>
            <wp:effectExtent l="0" t="0" r="0" b="0"/>
            <wp:docPr id="30" name="图表 32"/>
            <wp:cNvGraphicFramePr>
              <a:graphicFrameLocks noChangeAspect="0"/>
            </wp:cNvGraphicFramePr>
            <a:graphic>
              <a:graphicData uri="http://schemas.openxmlformats.org/drawingml/2006/chart">
                <c:chart xmlns:c="http://schemas.openxmlformats.org/drawingml/2006/chart" r:id="rId26"/>
              </a:graphicData>
            </a:graphic>
          </wp:inline>
        </w:drawing>
      </w:r>
      <w:r>
        <w:rPr>
          <w:rFonts w:hint="eastAsia"/>
        </w:rPr>
        <w:t xml:space="preserve"> </w:t>
      </w:r>
      <w:r>
        <w:t xml:space="preserve">                       </w:t>
      </w:r>
    </w:p>
    <w:p>
      <w:pPr>
        <w:pStyle w:val="18"/>
        <w:jc w:val="center"/>
      </w:pPr>
      <w:bookmarkStart w:id="64" w:name="_Toc22645"/>
      <w:bookmarkStart w:id="65" w:name="_Toc20943"/>
      <w:bookmarkStart w:id="66" w:name="_Toc84605533"/>
      <w:r>
        <w:rPr>
          <w:rFonts w:eastAsia="仿宋_GB2312" w:cs="仿宋_GB2312" w:hint="eastAsia"/>
        </w:rPr>
        <w:t>图3-</w:t>
      </w:r>
      <w:r>
        <w:rPr>
          <w:rFonts w:eastAsia="仿宋_GB2312" w:cs="仿宋_GB2312"/>
        </w:rPr>
        <w:t>6</w:t>
      </w:r>
      <w:r>
        <w:rPr>
          <w:rFonts w:eastAsia="仿宋_GB2312" w:cs="仿宋_GB2312" w:hint="eastAsia"/>
        </w:rPr>
        <w:t>：全市学考参考学生规模及对比</w:t>
      </w:r>
    </w:p>
    <w:p>
      <w:pPr>
        <w:spacing w:line="500" w:lineRule="exact"/>
        <w:ind w:firstLineChars="200" w:firstLine="640"/>
        <w:outlineLvl w:val="0"/>
        <w:rPr>
          <w:rFonts w:ascii="黑体" w:eastAsia="黑体" w:cs="黑体"/>
          <w:sz w:val="32"/>
          <w:szCs w:val="32"/>
        </w:rPr>
      </w:pPr>
      <w:r>
        <w:rPr>
          <w:rFonts w:ascii="黑体" w:eastAsia="黑体" w:cs="黑体"/>
          <w:sz w:val="32"/>
          <w:szCs w:val="32"/>
        </w:rPr>
        <w:t>4</w:t>
      </w:r>
      <w:r>
        <w:rPr>
          <w:rFonts w:ascii="黑体" w:eastAsia="黑体" w:cs="黑体" w:hint="eastAsia"/>
          <w:sz w:val="32"/>
          <w:szCs w:val="32"/>
        </w:rPr>
        <w:t>.校企合作</w:t>
      </w:r>
      <w:bookmarkEnd w:id="64"/>
      <w:bookmarkEnd w:id="65"/>
      <w:bookmarkEnd w:id="66"/>
    </w:p>
    <w:p>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全市各职业学校校企合作内容更加丰富。一方面，形式更加多样。“订单班”，根据订单企业的个性化要求，校企联合制定人才培养方案，嵌入企业专门课程，全市现有订单班104个；“校中厂”，企业在学校建设生产基地，变消耗性实训为生产性实训，如淮微软件将研发放在淮安中专；“厂中校”，在企业建立培训教室，如富准模具以劳模工作室引领，建设了200多个工位的培训教室。另一方面，融合不断增强。推行现代学徒制和企业新型学徒制，招生即招工，3个项目被评为省级试点项目；校企共建专业，创成省现代化专业群23个、省现代化实训基地26个，共同开发教学资源500多项；校企共建产业学院</w:t>
      </w:r>
      <w:r>
        <w:rPr>
          <w:rFonts w:ascii="仿宋_GB2312" w:eastAsia="仿宋_GB2312" w:hint="eastAsia"/>
          <w:color w:val="0000FF"/>
          <w:sz w:val="32"/>
          <w:szCs w:val="32"/>
        </w:rPr>
        <w:t>，</w:t>
      </w:r>
      <w:r>
        <w:rPr>
          <w:rFonts w:ascii="仿宋_GB2312" w:eastAsia="仿宋_GB2312" w:hint="eastAsia"/>
          <w:sz w:val="32"/>
          <w:szCs w:val="32"/>
        </w:rPr>
        <w:t>淮阴商校、洪泽中专、</w:t>
      </w:r>
      <w:r>
        <w:rPr>
          <w:rFonts w:ascii="仿宋_GB2312" w:eastAsia="仿宋_GB2312" w:hint="eastAsia"/>
          <w:sz w:val="32"/>
          <w:szCs w:val="32"/>
          <w:lang w:val="en-US" w:eastAsia="zh-CN"/>
        </w:rPr>
        <w:t>淮安中专校</w:t>
      </w:r>
      <w:r>
        <w:rPr>
          <w:rFonts w:ascii="仿宋_GB2312" w:eastAsia="仿宋_GB2312"/>
          <w:sz w:val="32"/>
          <w:szCs w:val="32"/>
          <w:lang w:val="en-US" w:eastAsia="zh-CN"/>
        </w:rPr>
        <w:t>与企业合作共</w:t>
      </w:r>
      <w:r>
        <w:rPr>
          <w:rFonts w:ascii="仿宋_GB2312" w:eastAsia="仿宋_GB2312" w:hint="eastAsia"/>
          <w:sz w:val="32"/>
          <w:szCs w:val="32"/>
          <w:lang w:val="en-US" w:eastAsia="zh-CN"/>
        </w:rPr>
        <w:t>建</w:t>
      </w:r>
      <w:r>
        <w:rPr>
          <w:rFonts w:ascii="仿宋_GB2312" w:eastAsia="仿宋_GB2312"/>
          <w:sz w:val="32"/>
          <w:szCs w:val="32"/>
          <w:lang w:val="en-US" w:eastAsia="zh-CN"/>
        </w:rPr>
        <w:t>了</w:t>
      </w:r>
      <w:r>
        <w:rPr>
          <w:rFonts w:ascii="仿宋_GB2312" w:eastAsia="仿宋_GB2312" w:hint="eastAsia"/>
          <w:sz w:val="32"/>
          <w:szCs w:val="32"/>
          <w:lang w:val="en-US" w:eastAsia="zh-CN"/>
        </w:rPr>
        <w:t>淮扬菜</w:t>
      </w:r>
      <w:r>
        <w:rPr>
          <w:rFonts w:ascii="仿宋_GB2312" w:eastAsia="仿宋_GB2312"/>
          <w:sz w:val="32"/>
          <w:szCs w:val="32"/>
          <w:lang w:val="en-US" w:eastAsia="zh-CN"/>
        </w:rPr>
        <w:t>、现代物流、跨境电商、</w:t>
      </w:r>
      <w:r>
        <w:rPr>
          <w:rFonts w:ascii="仿宋_GB2312" w:eastAsia="仿宋_GB2312" w:hint="eastAsia"/>
          <w:sz w:val="32"/>
          <w:szCs w:val="32"/>
          <w:lang w:val="en-US" w:eastAsia="zh-CN"/>
        </w:rPr>
        <w:t>AO史密斯等4个产业学院</w:t>
      </w:r>
      <w:r>
        <w:rPr>
          <w:rFonts w:ascii="仿宋_GB2312" w:eastAsia="仿宋_GB2312" w:hint="eastAsia"/>
          <w:sz w:val="32"/>
          <w:szCs w:val="32"/>
        </w:rPr>
        <w:t>，推动专业链与产业链、人才链与创新链充分融合；开展跨境国际合作，建设“双元制”实训中心，成立淮台现代农业职教集团。</w:t>
      </w:r>
    </w:p>
    <w:p>
      <w:pPr>
        <w:snapToGrid w:val="0"/>
        <w:spacing w:line="560" w:lineRule="atLeast"/>
        <w:ind w:firstLineChars="200" w:firstLine="560"/>
        <w:jc w:val="center"/>
        <w:rPr>
          <w:rFonts w:ascii="黑体" w:eastAsia="黑体" w:hint="eastAsia"/>
          <w:bCs/>
          <w:sz w:val="28"/>
          <w:szCs w:val="28"/>
        </w:rPr>
      </w:pPr>
      <w:bookmarkStart w:id="67" w:name="_Toc2260"/>
      <w:bookmarkStart w:id="68" w:name="_Toc901"/>
      <w:r>
        <w:rPr>
          <w:rFonts w:ascii="黑体" w:eastAsia="黑体" w:hint="eastAsia"/>
          <w:bCs/>
          <w:sz w:val="28"/>
          <w:szCs w:val="28"/>
        </w:rPr>
        <w:t>典型案例</w:t>
      </w:r>
      <w:r>
        <w:rPr>
          <w:rFonts w:ascii="黑体" w:eastAsia="黑体"/>
          <w:bCs/>
          <w:sz w:val="28"/>
          <w:szCs w:val="28"/>
        </w:rPr>
        <w:t>6：</w:t>
      </w:r>
      <w:r>
        <w:rPr>
          <w:rFonts w:ascii="黑体" w:eastAsia="黑体" w:hint="eastAsia"/>
          <w:bCs/>
          <w:sz w:val="28"/>
          <w:szCs w:val="28"/>
        </w:rPr>
        <w:t>淮阴中专与企业共建订单班</w:t>
      </w:r>
    </w:p>
    <w:p>
      <w:pPr>
        <w:pStyle w:val="23"/>
        <w:spacing w:beforeAutospacing="0" w:afterAutospacing="0" w:line="560" w:lineRule="exact"/>
        <w:ind w:firstLine="640"/>
        <w:outlineLvl w:val="1"/>
        <w:rPr>
          <w:rFonts w:ascii="方正楷体_GBK" w:eastAsia="方正楷体_GBK" w:hint="eastAsia"/>
          <w:sz w:val="28"/>
          <w:szCs w:val="28"/>
          <w:shd w:val="clear" w:color="auto" w:fill="FFFFFF"/>
        </w:rPr>
      </w:pPr>
      <w:bookmarkStart w:id="69" w:name="_Toc84605534"/>
      <w:bookmarkStart w:id="70" w:name="_Toc84605493"/>
      <w:r>
        <w:rPr>
          <w:rFonts w:ascii="方正楷体_GBK" w:eastAsia="方正楷体_GBK" w:hint="eastAsia"/>
          <w:sz w:val="28"/>
          <w:szCs w:val="28"/>
          <w:shd w:val="clear" w:color="auto" w:fill="FFFFFF"/>
        </w:rPr>
        <w:t>学校与同庆楼股份有限公司签定了“同庆楼订单班”校企合作办学协议。 根据同庆楼餐饮股份有限公司与江苏省淮阴中等专业学校签订的《“同庆楼订单班”校企合作协议》精神，落实“联合招生、联合培养、联合就业”合作事宜，扩大同庆楼企业文化在烹饪专业师生中的认知、了解，为遴选同庆楼订单班学生做好准备。同庆楼为烹饪营养部在校班级配备课桌套，按学校教室文化布置要求印制同庆楼相关标志和宣传标语，把企业文化注入到班级建设中。</w:t>
      </w:r>
      <w:bookmarkEnd w:id="69"/>
      <w:bookmarkEnd w:id="70"/>
    </w:p>
    <w:p>
      <w:pPr>
        <w:pStyle w:val="23"/>
        <w:spacing w:beforeAutospacing="0" w:afterAutospacing="0" w:line="560" w:lineRule="exact"/>
        <w:ind w:firstLine="640"/>
        <w:outlineLvl w:val="1"/>
        <w:rPr>
          <w:rFonts w:ascii="方正楷体_GBK" w:eastAsia="方正楷体_GBK" w:hint="eastAsia"/>
          <w:sz w:val="28"/>
          <w:szCs w:val="28"/>
          <w:shd w:val="clear" w:color="auto" w:fill="FFFFFF"/>
        </w:rPr>
      </w:pPr>
      <w:bookmarkStart w:id="71" w:name="_Toc84605535"/>
      <w:bookmarkStart w:id="72" w:name="_Toc84605494"/>
      <w:r>
        <w:rPr>
          <w:rFonts w:ascii="方正楷体_GBK" w:eastAsia="方正楷体_GBK" w:hint="eastAsia"/>
          <w:sz w:val="28"/>
          <w:szCs w:val="28"/>
          <w:shd w:val="clear" w:color="auto" w:fill="FFFFFF"/>
        </w:rPr>
        <w:t>威灵电机是学校新达成合作的企业，为拓宽企业人才培养结构升级，专业优选机电一体化、机械设计与制造、电气自动化技术、模具设计、数控加工等专业，进行“校企合作”共同培养后备人才。美的电机订单班自成立之初就得到企业的高度关注和重视，制定课程计划，举行“校牌”、“班牌”授牌仪式，学生到企业参观学习，企业讲师来校授课，共同创建班级文化，拟定学生激励方案，工学交替，工学结合等。企业通过自动化更新后，已拟定一批基础生产设备进行捐赠，充分利用课堂实践教学，培养学生获得专业操作技能，真正实现在“学中做”，在“做中学”。在这样的安排中，应届毕业生即可掌握相应的岗位技能，实现毕业即就业的择业目标。</w:t>
      </w:r>
      <w:bookmarkEnd w:id="71"/>
      <w:bookmarkEnd w:id="72"/>
    </w:p>
    <w:p>
      <w:pPr>
        <w:pStyle w:val="23"/>
        <w:spacing w:beforeAutospacing="0" w:afterAutospacing="0" w:line="560" w:lineRule="exact"/>
        <w:ind w:firstLine="640"/>
        <w:jc w:val="both"/>
        <w:outlineLvl w:val="1"/>
        <w:rPr>
          <w:rFonts w:ascii="Times New Roman" w:eastAsia="仿宋_GB2312" w:hAnsi="Times New Roman"/>
          <w:b/>
          <w:bCs/>
          <w:sz w:val="32"/>
          <w:szCs w:val="32"/>
          <w:shd w:val="clear" w:color="auto" w:fill="FFFFFF"/>
        </w:rPr>
      </w:pPr>
      <w:r>
        <w:rPr>
          <w:rFonts w:ascii="仿宋_GB2312" w:eastAsia="仿宋_GB2312" w:cs="仿宋_GB2312"/>
          <w:sz w:val="32"/>
          <w:szCs w:val="32"/>
        </w:rPr>
        <w:drawing>
          <wp:anchor distT="0" distB="0" distL="114300" distR="114300" simplePos="0" relativeHeight="97" behindDoc="0" locked="0" layoutInCell="1" hidden="0" allowOverlap="1">
            <wp:simplePos x="0" y="0"/>
            <wp:positionH relativeFrom="column">
              <wp:posOffset>3118532</wp:posOffset>
            </wp:positionH>
            <wp:positionV relativeFrom="paragraph">
              <wp:posOffset>105916</wp:posOffset>
            </wp:positionV>
            <wp:extent cx="2409824" cy="1905000"/>
            <wp:effectExtent l="0" t="0" r="0" b="0"/>
            <wp:wrapNone/>
            <wp:docPr id="31" name="图片 7" descr="C:\Users\ADMINI~1\AppData\Local\Temp\WeChat Files\29a19ce4dc8e8a4b66e4ae7ac8287ae.jpg"/>
            <wp:cNvGraphicFramePr>
              <a:graphicFrameLocks noChangeAspect="1"/>
            </wp:cNvGraphicFramePr>
            <a:graphic>
              <a:graphicData uri="http://schemas.openxmlformats.org/drawingml/2006/picture">
                <pic:pic>
                  <pic:nvPicPr>
                    <pic:cNvPr id="33" name="图片 7 33"/>
                    <pic:cNvPicPr/>
                  </pic:nvPicPr>
                  <pic:blipFill>
                    <a:blip r:embed="rId27"/>
                    <a:stretch>
                      <a:fillRect/>
                    </a:stretch>
                  </pic:blipFill>
                  <pic:spPr>
                    <a:xfrm rot="0">
                      <a:off x="0" y="0"/>
                      <a:ext cx="2409824" cy="1905000"/>
                    </a:xfrm>
                    <a:prstGeom prst="rect"/>
                    <a:noFill/>
                    <a:ln w="9525" cmpd="sng" cap="flat">
                      <a:noFill/>
                      <a:prstDash val="solid"/>
                      <a:round/>
                    </a:ln>
                  </pic:spPr>
                </pic:pic>
              </a:graphicData>
            </a:graphic>
          </wp:anchor>
        </w:drawing>
      </w:r>
      <w:r>
        <w:rPr>
          <w:rFonts w:ascii="仿宋_GB2312" w:eastAsia="仿宋_GB2312" w:cs="仿宋_GB2312"/>
          <w:sz w:val="32"/>
          <w:szCs w:val="32"/>
        </w:rPr>
        <w:drawing>
          <wp:anchor distT="0" distB="0" distL="114300" distR="114300" simplePos="0" relativeHeight="99" behindDoc="0" locked="0" layoutInCell="1" hidden="0" allowOverlap="1">
            <wp:simplePos x="0" y="0"/>
            <wp:positionH relativeFrom="margin">
              <wp:posOffset>434427</wp:posOffset>
            </wp:positionH>
            <wp:positionV relativeFrom="paragraph">
              <wp:posOffset>104773</wp:posOffset>
            </wp:positionV>
            <wp:extent cx="2590800" cy="1943100"/>
            <wp:effectExtent l="0" t="0" r="0" b="0"/>
            <wp:wrapNone/>
            <wp:docPr id="34" name="图片 1"/>
            <wp:cNvGraphicFramePr>
              <a:graphicFrameLocks noChangeAspect="1"/>
            </wp:cNvGraphicFramePr>
            <a:graphic>
              <a:graphicData uri="http://schemas.openxmlformats.org/drawingml/2006/picture">
                <pic:pic>
                  <pic:nvPicPr>
                    <pic:cNvPr id="36" name="图片 1 36"/>
                    <pic:cNvPicPr/>
                  </pic:nvPicPr>
                  <pic:blipFill>
                    <a:blip r:embed="rId28"/>
                    <a:stretch>
                      <a:fillRect/>
                    </a:stretch>
                  </pic:blipFill>
                  <pic:spPr>
                    <a:xfrm rot="0">
                      <a:off x="0" y="0"/>
                      <a:ext cx="2590800" cy="1943100"/>
                    </a:xfrm>
                    <a:prstGeom prst="rect"/>
                    <a:noFill/>
                    <a:ln w="9525" cmpd="sng" cap="flat">
                      <a:noFill/>
                      <a:prstDash val="solid"/>
                      <a:miter/>
                    </a:ln>
                  </pic:spPr>
                </pic:pic>
              </a:graphicData>
            </a:graphic>
          </wp:anchor>
        </w:drawing>
      </w:r>
    </w:p>
    <w:p>
      <w:pPr>
        <w:pStyle w:val="23"/>
        <w:spacing w:beforeAutospacing="0" w:afterAutospacing="0" w:line="560" w:lineRule="exact"/>
        <w:ind w:firstLine="640"/>
        <w:jc w:val="both"/>
        <w:outlineLvl w:val="1"/>
        <w:rPr>
          <w:rFonts w:ascii="Times New Roman" w:eastAsia="仿宋_GB2312" w:hAnsi="Times New Roman"/>
          <w:b/>
          <w:bCs/>
          <w:sz w:val="32"/>
          <w:szCs w:val="32"/>
          <w:shd w:val="clear" w:color="auto" w:fill="FFFFFF"/>
        </w:rPr>
      </w:pPr>
    </w:p>
    <w:p>
      <w:pPr>
        <w:pStyle w:val="23"/>
        <w:spacing w:beforeAutospacing="0" w:afterAutospacing="0" w:line="560" w:lineRule="exact"/>
        <w:ind w:firstLine="640"/>
        <w:jc w:val="both"/>
        <w:outlineLvl w:val="1"/>
        <w:rPr>
          <w:rFonts w:ascii="Times New Roman" w:eastAsia="仿宋_GB2312" w:hAnsi="Times New Roman"/>
          <w:b/>
          <w:bCs/>
          <w:sz w:val="32"/>
          <w:szCs w:val="32"/>
          <w:shd w:val="clear" w:color="auto" w:fill="FFFFFF"/>
        </w:rPr>
      </w:pPr>
    </w:p>
    <w:p>
      <w:pPr>
        <w:pStyle w:val="23"/>
        <w:spacing w:beforeAutospacing="0" w:afterAutospacing="0" w:line="560" w:lineRule="exact"/>
        <w:ind w:firstLine="640"/>
        <w:jc w:val="both"/>
        <w:outlineLvl w:val="1"/>
        <w:rPr>
          <w:rFonts w:ascii="Times New Roman" w:eastAsia="仿宋_GB2312" w:hAnsi="Times New Roman"/>
          <w:b/>
          <w:bCs/>
          <w:sz w:val="32"/>
          <w:szCs w:val="32"/>
          <w:shd w:val="clear" w:color="auto" w:fill="FFFFFF"/>
        </w:rPr>
      </w:pPr>
    </w:p>
    <w:p>
      <w:pPr>
        <w:pStyle w:val="23"/>
        <w:spacing w:beforeAutospacing="0" w:afterAutospacing="0" w:line="560" w:lineRule="exact"/>
        <w:ind w:firstLine="640"/>
        <w:jc w:val="both"/>
        <w:outlineLvl w:val="1"/>
        <w:rPr>
          <w:rFonts w:ascii="Times New Roman" w:eastAsia="仿宋_GB2312" w:hAnsi="Times New Roman"/>
          <w:b/>
          <w:bCs/>
          <w:sz w:val="32"/>
          <w:szCs w:val="32"/>
          <w:shd w:val="clear" w:color="auto" w:fill="FFFFFF"/>
        </w:rPr>
      </w:pPr>
    </w:p>
    <w:p>
      <w:pPr>
        <w:pStyle w:val="23"/>
        <w:spacing w:beforeAutospacing="0" w:afterAutospacing="0" w:line="560" w:lineRule="exact"/>
        <w:ind w:firstLine="640"/>
        <w:jc w:val="both"/>
        <w:outlineLvl w:val="1"/>
        <w:rPr>
          <w:rFonts w:ascii="Times New Roman" w:eastAsia="仿宋_GB2312" w:hAnsi="Times New Roman"/>
          <w:b/>
          <w:bCs/>
          <w:sz w:val="32"/>
          <w:szCs w:val="32"/>
          <w:shd w:val="clear" w:color="auto" w:fill="FFFFFF"/>
        </w:rPr>
      </w:pPr>
    </w:p>
    <w:p>
      <w:pPr>
        <w:pStyle w:val="23"/>
        <w:spacing w:beforeAutospacing="0" w:afterAutospacing="0" w:line="560" w:lineRule="exact"/>
        <w:ind w:firstLine="640"/>
        <w:jc w:val="center"/>
        <w:outlineLvl w:val="1"/>
        <w:rPr>
          <w:rFonts w:ascii="Times New Roman" w:eastAsia="仿宋_GB2312" w:hAnsi="Times New Roman"/>
          <w:sz w:val="21"/>
          <w:szCs w:val="21"/>
          <w:shd w:val="clear" w:color="auto" w:fill="FFFFFF"/>
        </w:rPr>
      </w:pPr>
      <w:bookmarkStart w:id="73" w:name="_Toc84605495"/>
      <w:bookmarkStart w:id="74" w:name="_Toc84605536"/>
      <w:r>
        <w:rPr>
          <w:rFonts w:ascii="Times New Roman" w:eastAsia="仿宋_GB2312" w:hAnsi="Times New Roman"/>
          <w:sz w:val="21"/>
          <w:szCs w:val="21"/>
          <w:shd w:val="clear" w:color="auto" w:fill="FFFFFF"/>
        </w:rPr>
        <w:t>图4-1 学校与企业课程共建、文化共建</w:t>
      </w:r>
      <w:bookmarkEnd w:id="73"/>
      <w:bookmarkEnd w:id="74"/>
    </w:p>
    <w:p>
      <w:pPr>
        <w:pStyle w:val="23"/>
        <w:spacing w:beforeAutospacing="0" w:afterAutospacing="0" w:line="560" w:lineRule="exact"/>
        <w:ind w:firstLine="640"/>
        <w:outlineLvl w:val="1"/>
        <w:rPr>
          <w:rFonts w:ascii="Times New Roman" w:eastAsia="仿宋_GB2312" w:hAnsi="Times New Roman"/>
          <w:b/>
          <w:bCs/>
          <w:sz w:val="32"/>
          <w:szCs w:val="32"/>
          <w:shd w:val="clear" w:color="auto" w:fill="FFFFFF"/>
        </w:rPr>
      </w:pPr>
      <w:bookmarkStart w:id="75" w:name="_Toc84605537"/>
      <w:r>
        <w:rPr>
          <w:rFonts w:ascii="Times New Roman" w:eastAsia="仿宋_GB2312" w:hAnsi="Times New Roman"/>
          <w:b/>
          <w:bCs/>
          <w:sz w:val="32"/>
          <w:szCs w:val="32"/>
          <w:shd w:val="clear" w:color="auto" w:fill="FFFFFF"/>
        </w:rPr>
        <w:t>4.1 制度平台建设</w:t>
      </w:r>
      <w:bookmarkEnd w:id="67"/>
      <w:bookmarkEnd w:id="68"/>
      <w:bookmarkEnd w:id="75"/>
    </w:p>
    <w:p>
      <w:pPr>
        <w:tabs>
          <w:tab w:val="left" w:pos="1060"/>
        </w:tabs>
        <w:ind w:firstLineChars="200" w:firstLine="640"/>
        <w:rPr>
          <w:rFonts w:ascii="Times New Roman" w:eastAsia="仿宋_GB2312" w:cs="仿宋_GB2312" w:hAnsi="Times New Roman"/>
          <w:color w:val="000000"/>
          <w:sz w:val="32"/>
          <w:szCs w:val="32"/>
        </w:rPr>
      </w:pPr>
      <w:r>
        <w:rPr>
          <w:rFonts w:ascii="仿宋_GB2312" w:eastAsia="仿宋_GB2312" w:cs="仿宋_GB2312"/>
          <w:sz w:val="32"/>
          <w:szCs w:val="32"/>
        </w:rPr>
        <w:t>搭建校企合作平台。</w:t>
      </w:r>
      <w:r>
        <w:rPr>
          <w:rFonts w:ascii="仿宋_GB2312" w:eastAsia="仿宋_GB2312" w:cs="仿宋_GB2312" w:hint="eastAsia"/>
          <w:sz w:val="32"/>
          <w:szCs w:val="32"/>
          <w:lang w:val="en-US" w:eastAsia="zh-CN"/>
        </w:rPr>
        <w:t>市教育局、市工信局、农业农村局联合开展校企合作需求调研，对全市2000多家规模以上企业校企合作现状、意愿、期待进行全样本调研，并发布《职业教育校企合作税收优惠政策明白纸》，宣传优惠激励政策。适时召开多场对接会，</w:t>
      </w:r>
      <w:r>
        <w:rPr>
          <w:rFonts w:ascii="仿宋_GB2312" w:eastAsia="仿宋_GB2312" w:cs="仿宋_GB2312"/>
          <w:sz w:val="32"/>
          <w:szCs w:val="32"/>
        </w:rPr>
        <w:t>协调各职业学校与本地企业对接，形成企业、行业、学校、政府共同搭建平台的情况。积极参与淮安台资高地建设，推动学校与台资企业签订合作协议，开展校企共建。</w:t>
      </w:r>
    </w:p>
    <w:p>
      <w:pPr>
        <w:tabs>
          <w:tab w:val="left" w:pos="1060"/>
        </w:tabs>
        <w:ind w:firstLineChars="200" w:firstLine="640"/>
        <w:rPr>
          <w:rFonts w:ascii="仿宋_GB2312" w:eastAsia="仿宋_GB2312" w:cs="仿宋_GB2312"/>
          <w:sz w:val="32"/>
          <w:szCs w:val="32"/>
        </w:rPr>
      </w:pPr>
      <w:r>
        <w:rPr>
          <w:rFonts w:ascii="仿宋_GB2312" w:eastAsia="仿宋_GB2312" w:cs="仿宋_GB2312"/>
          <w:sz w:val="32"/>
          <w:szCs w:val="32"/>
        </w:rPr>
        <w:t>推动职教集团</w:t>
      </w:r>
      <w:r>
        <w:rPr>
          <w:rFonts w:ascii="仿宋_GB2312" w:eastAsia="仿宋_GB2312" w:cs="仿宋_GB2312" w:hint="eastAsia"/>
          <w:sz w:val="32"/>
          <w:szCs w:val="32"/>
          <w:lang w:val="en-US" w:eastAsia="zh-CN"/>
        </w:rPr>
        <w:t>协同发展</w:t>
      </w:r>
      <w:r>
        <w:rPr>
          <w:rFonts w:ascii="仿宋_GB2312" w:eastAsia="仿宋_GB2312" w:cs="仿宋_GB2312"/>
          <w:sz w:val="32"/>
          <w:szCs w:val="32"/>
        </w:rPr>
        <w:t>作用。各中职校校企合作持续深入，摈弃部分浅层次合作，开展产教融合的推进，目前全市正在开展校企合作的企业数量449家，当地企业数量299家。各中职校牵头的职教集团数9个，职教集团校企合作培养人数达到6524人，比前一年度的5681人增加近千人。</w:t>
      </w:r>
    </w:p>
    <w:p>
      <w:pPr>
        <w:pStyle w:val="18"/>
        <w:ind w:leftChars="0" w:left="0" w:firstLineChars="200" w:firstLine="640"/>
        <w:rPr>
          <w:rFonts w:ascii="仿宋_GB2312" w:eastAsia="仿宋_GB2312" w:cs="仿宋_GB2312"/>
          <w:sz w:val="32"/>
          <w:szCs w:val="32"/>
        </w:rPr>
      </w:pPr>
      <w:r>
        <w:rPr>
          <w:rFonts w:ascii="仿宋_GB2312" w:eastAsia="仿宋_GB2312" w:cs="仿宋_GB2312"/>
          <w:sz w:val="32"/>
          <w:szCs w:val="32"/>
        </w:rPr>
        <w:t>深化产教融合合作机制。《淮安市国民经济和社会发展第十四个五年规划和二〇三五年远景目标纲要》将职业教育与经济社会发展同步规划。《规划》明确要求要深化产教融合、校企合作，增强现代职业教育体系与产业结构的契合性，推进专业设置与产业需求对接、课程内容与职业标准对接、教学过程与生产过程对接，到2035年全市职业学校专业和“3+N”产业集群对接率要达到75%以上。拟出台的《淮安市“十四五”教育发展规划》提出，深化校企合作，增强职业教育适应性，实施“淮安工匠”培育工程。市教育局、工信局、农业农村局对全市规模以上企业开展职业教育校企合作需求调研，深入了解企业需求、意愿和顾虑。淮安市文化旅游、工业经济等产业发展规划，对专业技能人才培养均提出发展目标和实施路径。市总工会落实《新时代淮安产业工人队伍建设改革实施方案》，深入开展行业导师进校园、劳模进校园等活动。</w:t>
      </w:r>
    </w:p>
    <w:p>
      <w:pPr>
        <w:snapToGrid w:val="0"/>
        <w:spacing w:line="560" w:lineRule="atLeast"/>
        <w:ind w:firstLineChars="200" w:firstLine="560"/>
        <w:jc w:val="center"/>
        <w:rPr>
          <w:rFonts w:ascii="黑体" w:eastAsia="黑体"/>
          <w:sz w:val="28"/>
          <w:szCs w:val="28"/>
        </w:rPr>
      </w:pPr>
      <w:r>
        <w:rPr>
          <w:rFonts w:ascii="黑体" w:eastAsia="黑体" w:hint="eastAsia"/>
          <w:sz w:val="28"/>
          <w:szCs w:val="28"/>
        </w:rPr>
        <w:t>典型案例</w:t>
      </w:r>
      <w:r>
        <w:rPr>
          <w:rFonts w:ascii="黑体" w:eastAsia="黑体"/>
          <w:sz w:val="28"/>
          <w:szCs w:val="28"/>
        </w:rPr>
        <w:t>7</w:t>
      </w:r>
      <w:r>
        <w:rPr>
          <w:rFonts w:ascii="黑体" w:eastAsia="黑体" w:hint="eastAsia"/>
          <w:sz w:val="28"/>
          <w:szCs w:val="28"/>
        </w:rPr>
        <w:t>：深化产教融合机制 推动高水平校企共建</w:t>
      </w:r>
    </w:p>
    <w:p>
      <w:pPr>
        <w:snapToGrid w:val="0"/>
        <w:spacing w:line="560" w:lineRule="atLeast"/>
        <w:ind w:firstLineChars="200" w:firstLine="560"/>
        <w:jc w:val="center"/>
        <w:rPr>
          <w:rFonts w:ascii="黑体" w:eastAsia="黑体"/>
          <w:sz w:val="28"/>
          <w:szCs w:val="28"/>
        </w:rPr>
      </w:pPr>
      <w:r>
        <w:rPr>
          <w:rFonts w:ascii="黑体" w:eastAsia="黑体" w:hint="eastAsia"/>
          <w:sz w:val="28"/>
          <w:szCs w:val="28"/>
        </w:rPr>
        <w:t>“淮农</w:t>
      </w:r>
      <w:r>
        <w:rPr>
          <w:rFonts w:ascii="微软雅黑" w:eastAsia="微软雅黑" w:cs="微软雅黑" w:hint="eastAsia"/>
          <w:sz w:val="28"/>
          <w:szCs w:val="28"/>
        </w:rPr>
        <w:t>•</w:t>
      </w:r>
      <w:r>
        <w:rPr>
          <w:rFonts w:ascii="黑体" w:eastAsia="黑体" w:hint="eastAsia"/>
          <w:sz w:val="28"/>
          <w:szCs w:val="28"/>
        </w:rPr>
        <w:t>德康”兽医检测博士后实验室揭牌</w:t>
      </w:r>
    </w:p>
    <w:p>
      <w:pPr>
        <w:spacing w:line="360" w:lineRule="auto"/>
        <w:ind w:firstLineChars="200" w:firstLine="560"/>
        <w:jc w:val="left"/>
        <w:rPr>
          <w:rFonts w:ascii="方正楷体_GBK" w:eastAsia="方正楷体_GBK" w:hint="eastAsia"/>
          <w:sz w:val="28"/>
          <w:szCs w:val="28"/>
        </w:rPr>
      </w:pPr>
      <w:r>
        <w:rPr>
          <w:rFonts w:ascii="方正楷体_GBK" w:eastAsia="方正楷体_GBK" w:hint="eastAsia"/>
          <w:sz w:val="28"/>
          <w:szCs w:val="28"/>
        </w:rPr>
        <w:t>10月30日下午，“淮农·德康”兽医检测博士后实验室揭牌仪式暨淮安生物工程学校畜牧兽医专业校企合作洽谈会在淮安生物工程高等职业学校124会议室顺利举行。光明牧业有限公司、四川德康农牧食品集团股份有限公司等省内外11家规模企业参加了本次校企合作洽谈会。副校长赵守东、禹立馨、校企合作处处长蔡小全、教务处处长史忠良及动物工程系主任陈剑等处室、系部负责人员参加了本次活动。会上，禹立馨首先代表学校致欢迎辞。她介绍了近年来淮安生物工程学校校企合作方面取得的主要成绩。四川德康生猪事业部华东区技术总监杨龙圣博士介绍了“淮农·德康”博士后实验室的相关情况。会议最后，赵守东和杨龙圣一起为实验室揭牌。随后，赵守东带领各位企业领导参观了“淮农·德康”博士后实验室。</w:t>
      </w:r>
    </w:p>
    <w:p>
      <w:pPr>
        <w:spacing w:line="360" w:lineRule="auto"/>
        <w:ind w:firstLineChars="200" w:firstLine="560"/>
        <w:jc w:val="left"/>
        <w:rPr>
          <w:rFonts w:ascii="方正楷体_GBK" w:eastAsia="方正楷体_GBK" w:hint="eastAsia"/>
          <w:sz w:val="28"/>
          <w:szCs w:val="28"/>
        </w:rPr>
      </w:pPr>
      <w:r>
        <w:rPr>
          <w:rFonts w:ascii="方正楷体_GBK" w:eastAsia="方正楷体_GBK" w:hint="eastAsia"/>
          <w:sz w:val="28"/>
          <w:szCs w:val="28"/>
        </w:rPr>
        <w:t>本次校企合作洽谈会取得圆满成功。各企业都分享展校企合作的经验和设想，并纷纷表示愿意和淮安生物工程学校开展深度合作。</w:t>
      </w:r>
    </w:p>
    <w:p>
      <w:pPr>
        <w:spacing w:line="360" w:lineRule="auto"/>
        <w:jc w:val="center"/>
        <w:rPr>
          <w:rFonts w:ascii="宋体" w:cs="宋体"/>
          <w:sz w:val="28"/>
          <w:szCs w:val="28"/>
        </w:rPr>
      </w:pPr>
      <w:r>
        <w:rPr>
          <w:rFonts w:ascii="宋体" w:cs="宋体" w:hint="eastAsia"/>
          <w:sz w:val="28"/>
          <w:szCs w:val="28"/>
        </w:rPr>
        <w:drawing>
          <wp:inline distT="0" distB="0" distL="114300" distR="114300">
            <wp:extent cx="4095749" cy="2711449"/>
            <wp:effectExtent l="62591" t="8913" r="318438" b="372074"/>
            <wp:docPr id="37" name="图片 33" descr="6980877a09b2e5b08f0a8b7b9e50e69d"/>
            <wp:cNvGraphicFramePr>
              <a:graphicFrameLocks noChangeAspect="1"/>
            </wp:cNvGraphicFramePr>
            <a:graphic>
              <a:graphicData uri="http://schemas.openxmlformats.org/drawingml/2006/picture">
                <pic:pic>
                  <pic:nvPicPr>
                    <pic:cNvPr id="39" name="图片 33 39"/>
                    <pic:cNvPicPr/>
                  </pic:nvPicPr>
                  <pic:blipFill>
                    <a:blip r:embed="rId29"/>
                    <a:stretch>
                      <a:fillRect/>
                    </a:stretch>
                  </pic:blipFill>
                  <pic:spPr>
                    <a:xfrm rot="0">
                      <a:off x="0" y="0"/>
                      <a:ext cx="4095749" cy="2711449"/>
                    </a:xfrm>
                    <a:prstGeom prst="roundRect">
                      <a:avLst>
                        <a:gd name="adj" fmla="val 16666"/>
                      </a:avLst>
                    </a:prstGeom>
                    <a:noFill/>
                    <a:ln w="9525" cmpd="sng" cap="flat">
                      <a:noFill/>
                      <a:prstDash val="solid"/>
                      <a:round/>
                    </a:ln>
                    <a:effectLst>
                      <a:outerShdw sx="100000" sy="100000" algn="tl" rotWithShape="0" blurRad="76200" dist="38100" dir="7800000">
                        <a:srgbClr val="000000">
                          <a:alpha val="39607"/>
                        </a:srgbClr>
                      </a:outerShdw>
                    </a:effectLst>
                  </pic:spPr>
                </pic:pic>
              </a:graphicData>
            </a:graphic>
          </wp:inline>
        </w:drawing>
      </w:r>
      <w:bookmarkStart w:id="76" w:name="_Toc14581"/>
    </w:p>
    <w:p>
      <w:pPr>
        <w:spacing w:line="360" w:lineRule="auto"/>
        <w:jc w:val="center"/>
        <w:rPr>
          <w:rFonts w:ascii="宋体" w:cs="宋体"/>
          <w:sz w:val="28"/>
          <w:szCs w:val="28"/>
        </w:rPr>
      </w:pPr>
      <w:r>
        <w:rPr>
          <w:rFonts w:ascii="Times New Roman" w:eastAsia="仿宋_GB2312" w:cs="仿宋_GB2312" w:hAnsi="Times New Roman" w:hint="eastAsia"/>
          <w:sz w:val="24"/>
        </w:rPr>
        <w:t>图4-1：淮农·德康”兽医检测博士后实验室揭牌仪式现场</w:t>
      </w:r>
      <w:bookmarkEnd w:id="76"/>
    </w:p>
    <w:p>
      <w:pPr>
        <w:pStyle w:val="23"/>
        <w:spacing w:beforeAutospacing="0" w:afterAutospacing="0" w:line="560" w:lineRule="exact"/>
        <w:ind w:firstLineChars="200" w:firstLine="640"/>
        <w:outlineLvl w:val="1"/>
        <w:rPr>
          <w:rFonts w:ascii="Times New Roman" w:eastAsia="仿宋_GB2312" w:hAnsi="Times New Roman"/>
          <w:b/>
          <w:bCs/>
          <w:sz w:val="32"/>
          <w:szCs w:val="32"/>
          <w:shd w:val="clear" w:color="auto" w:fill="FFFFFF"/>
        </w:rPr>
      </w:pPr>
      <w:bookmarkStart w:id="77" w:name="_Toc4014"/>
      <w:bookmarkStart w:id="78" w:name="_Toc84605538"/>
      <w:bookmarkStart w:id="79" w:name="_Toc17466"/>
      <w:bookmarkStart w:id="80" w:name="_Toc16152_WPSOffice_Level2"/>
      <w:r>
        <w:rPr>
          <w:rFonts w:ascii="Times New Roman" w:eastAsia="仿宋_GB2312" w:hAnsi="Times New Roman"/>
          <w:b/>
          <w:bCs/>
          <w:sz w:val="32"/>
          <w:szCs w:val="32"/>
          <w:shd w:val="clear" w:color="auto" w:fill="FFFFFF"/>
        </w:rPr>
        <w:t>4.2 现代学徒制</w:t>
      </w:r>
      <w:bookmarkEnd w:id="77"/>
      <w:bookmarkEnd w:id="78"/>
      <w:bookmarkEnd w:id="79"/>
    </w:p>
    <w:p>
      <w:pPr>
        <w:pStyle w:val="23"/>
        <w:spacing w:beforeAutospacing="0" w:afterAutospacing="0" w:line="560" w:lineRule="exact"/>
        <w:ind w:firstLine="640"/>
        <w:outlineLvl w:val="1"/>
        <w:rPr>
          <w:rFonts w:ascii="Times New Roman" w:eastAsia="仿宋_GB2312" w:cs="仿宋_GB2312" w:hAnsi="Times New Roman"/>
          <w:color w:val="000000"/>
          <w:sz w:val="32"/>
          <w:szCs w:val="32"/>
        </w:rPr>
      </w:pPr>
      <w:bookmarkStart w:id="81" w:name="_Toc17067"/>
      <w:bookmarkStart w:id="82" w:name="_Toc2292"/>
      <w:bookmarkStart w:id="83" w:name="_Toc59566743"/>
      <w:bookmarkStart w:id="84" w:name="_Toc84605498"/>
      <w:bookmarkStart w:id="85" w:name="_Toc84605539"/>
      <w:r>
        <w:rPr>
          <w:rFonts w:ascii="Times New Roman" w:eastAsia="仿宋_GB2312" w:cs="仿宋_GB2312" w:hAnsi="Times New Roman" w:hint="eastAsia"/>
          <w:color w:val="000000"/>
          <w:sz w:val="32"/>
          <w:szCs w:val="32"/>
        </w:rPr>
        <w:t>推行校企一体化育人、工学交替现代学徒制，市经济开发区、淮阴商业学校、淮安生物工程等</w:t>
      </w:r>
      <w:r>
        <w:rPr>
          <w:rFonts w:ascii="Times New Roman" w:eastAsia="仿宋_GB2312" w:hAnsi="Times New Roman"/>
          <w:color w:val="000000"/>
          <w:sz w:val="32"/>
          <w:szCs w:val="32"/>
        </w:rPr>
        <w:t>3</w:t>
      </w:r>
      <w:r>
        <w:rPr>
          <w:rFonts w:ascii="Times New Roman" w:eastAsia="仿宋_GB2312" w:cs="仿宋_GB2312" w:hAnsi="Times New Roman" w:hint="eastAsia"/>
          <w:color w:val="000000"/>
          <w:sz w:val="32"/>
          <w:szCs w:val="32"/>
        </w:rPr>
        <w:t>个单位试点项目通过省现代学徒制试点验收，在苏北率先建立德国双元制人才培养基地，基地已推广到模具、汽修、机电等专业。</w:t>
      </w:r>
      <w:bookmarkStart w:id="86" w:name="_Toc9687"/>
      <w:bookmarkEnd w:id="81"/>
      <w:bookmarkEnd w:id="82"/>
      <w:bookmarkEnd w:id="83"/>
      <w:r>
        <w:rPr>
          <w:rFonts w:ascii="仿宋_GB2312" w:eastAsia="仿宋_GB2312" w:cs="仿宋_GB2312"/>
          <w:color w:val="000000"/>
          <w:kern w:val="0"/>
          <w:sz w:val="32"/>
          <w:szCs w:val="32"/>
        </w:rPr>
        <w:t>2021年，我市现代学徒制试点工作稳步推进，联合招生招工初具规模，成本分担机制初步形成，双师队伍基本建立，实践环节得到加强，制度保障逐步积累，注重科研引领实践。</w:t>
      </w:r>
      <w:bookmarkEnd w:id="84"/>
      <w:bookmarkEnd w:id="85"/>
    </w:p>
    <w:p>
      <w:pPr>
        <w:spacing w:line="560" w:lineRule="exact"/>
        <w:ind w:firstLineChars="200" w:firstLine="640"/>
        <w:rPr>
          <w:rFonts w:ascii="仿宋_GB2312" w:eastAsia="仿宋_GB2312" w:cs="仿宋_GB2312"/>
          <w:sz w:val="32"/>
          <w:szCs w:val="32"/>
        </w:rPr>
      </w:pPr>
      <w:r>
        <w:rPr>
          <w:rFonts w:ascii="仿宋_GB2312" w:eastAsia="仿宋_GB2312" w:cs="仿宋_GB2312"/>
          <w:sz w:val="32"/>
          <w:szCs w:val="32"/>
        </w:rPr>
        <w:t>省级试点项目通过验收。我市有2所学校和一个县区被认定为省级现代学徒制试点项目并于今年通过了省级验收，分别是淮安市经济技术开发区、江苏省淮阴商业学校、淮安生物工程高等职业学校。试点单位深刻领会和把握新时期职业教育“融合发展”的核心主题，在发展方式上体现产教融合，在办学机制上体现校企协同，在育人机制上体现德技并修，在教学模式上体现理实融合，努力做到“教学做合一”，有效提升技术技能人才培养质量。淮安市经济技术开发区制订了《开发区推进现代学徒制度试点工作的实施意见》等相关配套文件，对区域性整体推进现代化学徒制试点工作进行了顶层设计。淮安生物工程高等职业学校畜牧兽医专业现代学徒制的实施，实现了学训交替，教学空间由校园延伸到牧场，参与主体由学校转变为校企双方共育。激发了用人单位与学校合作，主动承担育人职责，促进双主体培养职业人才的模式深入实施。</w:t>
      </w:r>
    </w:p>
    <w:p>
      <w:pPr>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sz w:val="32"/>
          <w:szCs w:val="32"/>
        </w:rPr>
        <w:t>全面推行现代学徒制。制定下发了《市教育局关于全面推进现代学徒制工作的通知》，要求</w:t>
      </w:r>
      <w:r>
        <w:rPr>
          <w:rFonts w:ascii="仿宋_GB2312" w:eastAsia="仿宋_GB2312" w:cs="仿宋_GB2312" w:hint="eastAsia"/>
          <w:kern w:val="0"/>
          <w:sz w:val="32"/>
          <w:szCs w:val="32"/>
        </w:rPr>
        <w:t>现代学徒制覆盖所有职业学校、覆盖所有适应现代学徒制主干专业、覆盖区域主要产业，积极探索具有专业特色和地方特点的现代学徒制度，增强职业教育对我市经济社会发展的人才支撑力，提升职业教育的核心竞争力。</w:t>
      </w:r>
    </w:p>
    <w:p>
      <w:pPr>
        <w:snapToGrid w:val="0"/>
        <w:spacing w:line="560" w:lineRule="atLeast"/>
        <w:ind w:firstLineChars="200" w:firstLine="560"/>
        <w:jc w:val="center"/>
        <w:rPr>
          <w:rFonts w:ascii="黑体" w:eastAsia="黑体"/>
          <w:sz w:val="28"/>
          <w:szCs w:val="28"/>
        </w:rPr>
      </w:pPr>
      <w:r>
        <w:rPr>
          <w:rFonts w:ascii="黑体" w:eastAsia="黑体" w:hint="eastAsia"/>
          <w:sz w:val="28"/>
          <w:szCs w:val="28"/>
        </w:rPr>
        <w:t>典型案例</w:t>
      </w:r>
      <w:r>
        <w:rPr>
          <w:rFonts w:ascii="黑体" w:eastAsia="黑体"/>
          <w:sz w:val="28"/>
          <w:szCs w:val="28"/>
        </w:rPr>
        <w:t>8</w:t>
      </w:r>
      <w:r>
        <w:rPr>
          <w:rFonts w:ascii="黑体" w:eastAsia="黑体" w:hint="eastAsia"/>
          <w:sz w:val="28"/>
          <w:szCs w:val="28"/>
        </w:rPr>
        <w:t>：探索校本学徒制“青苗计划”，校企共建京东物流学院</w:t>
      </w:r>
    </w:p>
    <w:p>
      <w:pPr>
        <w:widowControl/>
        <w:shd w:val="clear" w:color="auto" w:fill="FFFFFF"/>
        <w:snapToGrid w:val="0"/>
        <w:spacing w:line="560" w:lineRule="atLeast"/>
        <w:ind w:firstLineChars="200" w:firstLine="560"/>
        <w:rPr>
          <w:rFonts w:ascii="方正楷体_GBK" w:eastAsia="方正楷体_GBK" w:hint="eastAsia"/>
          <w:sz w:val="28"/>
          <w:szCs w:val="28"/>
        </w:rPr>
      </w:pPr>
      <w:r>
        <w:rPr>
          <w:rFonts w:ascii="方正楷体_GBK" w:eastAsia="方正楷体_GBK" w:hint="eastAsia"/>
          <w:sz w:val="28"/>
          <w:szCs w:val="28"/>
        </w:rPr>
        <w:t>青苗计划是淮安市高职校在物流服务与管理专业省现代学徒制试点的成功经验的基础上，对五年制现代物流管理专业学生实行的校本化实践。2021年5月20日，与京东物流联合开办的冠名班“京东物流班”正式成立,标志着物流专业开启了校企合作新篇章。</w:t>
      </w:r>
    </w:p>
    <w:p>
      <w:pPr>
        <w:ind w:firstLineChars="200" w:firstLine="560"/>
        <w:rPr>
          <w:rFonts w:ascii="方正楷体_GBK" w:eastAsia="方正楷体_GBK" w:hint="eastAsia"/>
          <w:sz w:val="28"/>
          <w:szCs w:val="28"/>
        </w:rPr>
      </w:pPr>
      <w:r>
        <w:rPr>
          <w:rFonts w:ascii="方正楷体_GBK" w:eastAsia="方正楷体_GBK" w:hint="eastAsia"/>
          <w:sz w:val="28"/>
          <w:szCs w:val="28"/>
        </w:rPr>
        <w:t>在青苗计划的实践中，市高职校与京东物流华东区共同制定人才培养方案，共同制定教学计划，融入校内通用力、校内仓储专业力课程提供相对应的专业实习以及实践力培训，合理安排实习岗位。在实践中构建了“4双6共1融合”的现代物流人才培养模式，即在产业、专业双融合背景下，由学校、企业双主体共同制定现代物流人才培养方案、共同构建课程体系、共同开发课程资源、共同开发新式教材、共同实施教学过程、共同建立学生评价体系，在学校、工厂双场所开展理论与技能教学，教师、学生兼具双重身份，达成学历证书“1”与职业技能等级证书“X”的融合，培养具备服务至上的自主能力、善于学习借鉴的自省能力、精于操作设计的现代物流人才。</w:t>
      </w:r>
    </w:p>
    <w:p>
      <w:pPr>
        <w:snapToGrid w:val="0"/>
        <w:spacing w:line="560" w:lineRule="atLeast"/>
        <w:ind w:firstLineChars="200" w:firstLine="640"/>
        <w:jc w:val="center"/>
        <w:rPr>
          <w:rFonts w:ascii="仿宋_GB2312" w:eastAsia="仿宋_GB2312" w:cs="仿宋_GB2312"/>
          <w:sz w:val="32"/>
          <w:szCs w:val="32"/>
        </w:rPr>
      </w:pPr>
      <w:bookmarkStart w:id="87" w:name="_Toc8230"/>
      <w:r>
        <w:rPr>
          <w:rFonts w:ascii="仿宋_GB2312" w:eastAsia="仿宋_GB2312" w:cs="仿宋_GB2312"/>
          <w:sz w:val="32"/>
          <w:szCs w:val="32"/>
        </w:rPr>
        <w:drawing>
          <wp:inline distT="0" distB="0" distL="0" distR="0">
            <wp:extent cx="2400300" cy="1590675"/>
            <wp:effectExtent l="0" t="0" r="37" b="25"/>
            <wp:docPr id="40" name="图片 34" descr="一群人站在台上&#10;&#10;描述已自动生成"/>
            <wp:cNvGraphicFramePr>
              <a:graphicFrameLocks noChangeAspect="1"/>
            </wp:cNvGraphicFramePr>
            <a:graphic>
              <a:graphicData uri="http://schemas.openxmlformats.org/drawingml/2006/picture">
                <pic:pic>
                  <pic:nvPicPr>
                    <pic:cNvPr id="42" name="图片 34 42"/>
                    <pic:cNvPicPr/>
                  </pic:nvPicPr>
                  <pic:blipFill>
                    <a:blip r:embed="rId30"/>
                    <a:stretch>
                      <a:fillRect/>
                    </a:stretch>
                  </pic:blipFill>
                  <pic:spPr>
                    <a:xfrm rot="0">
                      <a:off x="0" y="0"/>
                      <a:ext cx="2400300" cy="1590675"/>
                    </a:xfrm>
                    <a:prstGeom prst="rect"/>
                    <a:noFill/>
                    <a:ln w="9525" cmpd="sng" cap="flat">
                      <a:noFill/>
                      <a:prstDash val="solid"/>
                      <a:round/>
                    </a:ln>
                  </pic:spPr>
                </pic:pic>
              </a:graphicData>
            </a:graphic>
          </wp:inline>
        </w:drawing>
      </w:r>
      <w:r>
        <w:rPr>
          <w:rFonts w:ascii="仿宋_GB2312" w:eastAsia="仿宋_GB2312" w:cs="仿宋_GB2312"/>
          <w:sz w:val="32"/>
          <w:szCs w:val="32"/>
        </w:rPr>
        <w:t xml:space="preserve"> </w:t>
      </w:r>
      <w:r>
        <w:rPr>
          <w:rFonts w:ascii="仿宋_GB2312" w:eastAsia="仿宋_GB2312" w:cs="仿宋_GB2312"/>
          <w:sz w:val="32"/>
          <w:szCs w:val="32"/>
        </w:rPr>
        <w:drawing>
          <wp:inline distT="0" distB="0" distL="0" distR="0">
            <wp:extent cx="2162175" cy="1576705"/>
            <wp:effectExtent l="0" t="0" r="33" b="39"/>
            <wp:docPr id="43" name="图片 5"/>
            <wp:cNvGraphicFramePr>
              <a:graphicFrameLocks noChangeAspect="1"/>
            </wp:cNvGraphicFramePr>
            <a:graphic>
              <a:graphicData uri="http://schemas.openxmlformats.org/drawingml/2006/picture">
                <pic:pic>
                  <pic:nvPicPr>
                    <pic:cNvPr id="45" name="图片 5 45"/>
                    <pic:cNvPicPr/>
                  </pic:nvPicPr>
                  <pic:blipFill>
                    <a:blip r:embed="rId31"/>
                    <a:stretch>
                      <a:fillRect/>
                    </a:stretch>
                  </pic:blipFill>
                  <pic:spPr>
                    <a:xfrm rot="0">
                      <a:off x="0" y="0"/>
                      <a:ext cx="2162175" cy="1576705"/>
                    </a:xfrm>
                    <a:prstGeom prst="rect"/>
                    <a:noFill/>
                    <a:ln w="9525" cmpd="sng" cap="flat">
                      <a:noFill/>
                      <a:prstDash val="solid"/>
                      <a:round/>
                    </a:ln>
                  </pic:spPr>
                </pic:pic>
              </a:graphicData>
            </a:graphic>
          </wp:inline>
        </w:drawing>
      </w:r>
    </w:p>
    <w:p>
      <w:pPr>
        <w:snapToGrid w:val="0"/>
        <w:spacing w:line="560" w:lineRule="atLeast"/>
        <w:jc w:val="center"/>
        <w:rPr>
          <w:rFonts w:ascii="Times New Roman" w:eastAsia="仿宋_GB2312" w:cs="仿宋_GB2312" w:hAnsi="Times New Roman"/>
          <w:sz w:val="24"/>
        </w:rPr>
      </w:pPr>
      <w:r>
        <w:rPr>
          <w:rFonts w:ascii="Times New Roman" w:eastAsia="仿宋_GB2312" w:cs="仿宋_GB2312" w:hAnsi="Times New Roman" w:hint="eastAsia"/>
          <w:sz w:val="24"/>
        </w:rPr>
        <w:t>图</w:t>
      </w:r>
      <w:r>
        <w:rPr>
          <w:rFonts w:ascii="Times New Roman" w:eastAsia="仿宋_GB2312" w:cs="仿宋_GB2312" w:hAnsi="Times New Roman"/>
          <w:sz w:val="24"/>
        </w:rPr>
        <w:t>4</w:t>
      </w:r>
      <w:r>
        <w:rPr>
          <w:rFonts w:ascii="Times New Roman" w:eastAsia="仿宋_GB2312" w:cs="仿宋_GB2312" w:hAnsi="Times New Roman" w:hint="eastAsia"/>
          <w:sz w:val="24"/>
        </w:rPr>
        <w:t>-</w:t>
      </w:r>
      <w:r>
        <w:rPr>
          <w:rFonts w:ascii="Times New Roman" w:eastAsia="仿宋_GB2312" w:cs="仿宋_GB2312" w:hAnsi="Times New Roman"/>
          <w:sz w:val="24"/>
        </w:rPr>
        <w:t>2</w:t>
      </w:r>
      <w:r>
        <w:rPr>
          <w:rFonts w:ascii="Times New Roman" w:eastAsia="仿宋_GB2312" w:cs="仿宋_GB2312" w:hAnsi="Times New Roman" w:hint="eastAsia"/>
          <w:sz w:val="24"/>
        </w:rPr>
        <w:t>：</w:t>
      </w:r>
      <w:r>
        <w:rPr>
          <w:rFonts w:ascii="Times New Roman" w:eastAsia="仿宋_GB2312" w:cs="仿宋_GB2312" w:hAnsi="Times New Roman"/>
          <w:sz w:val="24"/>
        </w:rPr>
        <w:t>“京东物流班揭牌仪式”、</w:t>
      </w:r>
      <w:r>
        <w:rPr>
          <w:rFonts w:ascii="Times New Roman" w:eastAsia="仿宋_GB2312" w:cs="仿宋_GB2312" w:hAnsi="Times New Roman" w:hint="eastAsia"/>
          <w:sz w:val="24"/>
        </w:rPr>
        <w:t>京东企业进校园专场培训会</w:t>
      </w:r>
    </w:p>
    <w:p>
      <w:pPr>
        <w:pStyle w:val="23"/>
        <w:spacing w:beforeAutospacing="0" w:afterAutospacing="0" w:line="500" w:lineRule="exact"/>
        <w:ind w:firstLineChars="200" w:firstLine="640"/>
        <w:outlineLvl w:val="1"/>
        <w:rPr>
          <w:rFonts w:ascii="仿宋_GB2312" w:eastAsia="仿宋_GB2312" w:cs="仿宋_GB2312"/>
          <w:b/>
          <w:bCs/>
          <w:sz w:val="32"/>
          <w:szCs w:val="32"/>
          <w:shd w:val="clear" w:color="auto" w:fill="FFFFFF"/>
        </w:rPr>
      </w:pPr>
      <w:bookmarkStart w:id="88" w:name="_Toc84605540"/>
      <w:r>
        <w:rPr>
          <w:rFonts w:ascii="仿宋_GB2312" w:eastAsia="仿宋_GB2312" w:cs="仿宋_GB2312"/>
          <w:b/>
          <w:bCs/>
          <w:sz w:val="32"/>
          <w:szCs w:val="32"/>
          <w:shd w:val="clear" w:color="auto" w:fill="FFFFFF"/>
        </w:rPr>
        <w:t>4</w:t>
      </w:r>
      <w:r>
        <w:rPr>
          <w:rFonts w:ascii="仿宋_GB2312" w:eastAsia="仿宋_GB2312" w:cs="仿宋_GB2312" w:hint="eastAsia"/>
          <w:b/>
          <w:bCs/>
          <w:sz w:val="32"/>
          <w:szCs w:val="32"/>
          <w:shd w:val="clear" w:color="auto" w:fill="FFFFFF"/>
        </w:rPr>
        <w:t xml:space="preserve">.3 </w:t>
      </w:r>
      <w:bookmarkEnd w:id="80"/>
      <w:r>
        <w:rPr>
          <w:rFonts w:ascii="仿宋_GB2312" w:eastAsia="仿宋_GB2312" w:cs="仿宋_GB2312" w:hint="eastAsia"/>
          <w:b/>
          <w:bCs/>
          <w:sz w:val="32"/>
          <w:szCs w:val="32"/>
          <w:shd w:val="clear" w:color="auto" w:fill="FFFFFF"/>
        </w:rPr>
        <w:t>实习实训</w:t>
      </w:r>
      <w:bookmarkEnd w:id="86"/>
      <w:bookmarkEnd w:id="87"/>
      <w:bookmarkEnd w:id="88"/>
    </w:p>
    <w:p>
      <w:pPr>
        <w:ind w:firstLineChars="200" w:firstLine="640"/>
        <w:jc w:val="left"/>
        <w:rPr>
          <w:rFonts w:ascii="仿宋_GB2312" w:eastAsia="仿宋_GB2312" w:cs="仿宋_GB2312"/>
          <w:sz w:val="32"/>
          <w:szCs w:val="32"/>
        </w:rPr>
      </w:pPr>
      <w:r>
        <w:rPr>
          <w:rFonts w:ascii="仿宋_GB2312" w:eastAsia="仿宋_GB2312" w:cs="仿宋_GB2312" w:hint="eastAsia"/>
          <w:color w:val="000000"/>
          <w:kern w:val="0"/>
          <w:sz w:val="32"/>
          <w:szCs w:val="32"/>
          <w:lang w:val="en-US" w:eastAsia="zh-CN"/>
        </w:rPr>
        <w:t>丰富实习实训岗位。</w:t>
      </w:r>
      <w:r>
        <w:rPr>
          <w:rFonts w:ascii="仿宋_GB2312" w:eastAsia="仿宋_GB2312" w:cs="仿宋_GB2312"/>
          <w:color w:val="000000"/>
          <w:kern w:val="0"/>
          <w:sz w:val="32"/>
          <w:szCs w:val="32"/>
        </w:rPr>
        <w:t>2021年，全市</w:t>
      </w:r>
      <w:r>
        <w:rPr>
          <w:rFonts w:ascii="仿宋_GB2312" w:eastAsia="仿宋_GB2312" w:cs="仿宋_GB2312"/>
          <w:sz w:val="32"/>
          <w:szCs w:val="32"/>
        </w:rPr>
        <w:t>校内实习实训基地数176个，企业提供的实践教学设备总值由914.12万元增加到1332.99万元。合作企业接收学生实习比例达45%，与去年保持持平。生均企业实习经费补贴由去年的1687元增加到今年的1794元。工位数从33599个增加到33653个，校外实训基地工位数27698个，比上一学年增加3350个。学校办学基础更加扎实，实训条件不断优化提升，实训课开出率保持在99.9%。</w:t>
      </w:r>
    </w:p>
    <w:p>
      <w:pPr>
        <w:ind w:firstLineChars="200" w:firstLine="640"/>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lang w:val="en-US" w:eastAsia="zh-CN"/>
        </w:rPr>
        <w:t>推进实训基地现代化建设。</w:t>
      </w:r>
      <w:r>
        <w:rPr>
          <w:rFonts w:ascii="仿宋_GB2312" w:eastAsia="仿宋_GB2312" w:cs="仿宋_GB2312"/>
          <w:color w:val="000000"/>
          <w:kern w:val="0"/>
          <w:sz w:val="32"/>
          <w:szCs w:val="32"/>
        </w:rPr>
        <w:t>各职业学校能够与企业合作，积极推进校企共建实习基地，同时开展现代化实训基地建设工作。</w:t>
      </w:r>
    </w:p>
    <w:p>
      <w:pPr>
        <w:pStyle w:val="18"/>
        <w:jc w:val="center"/>
        <w:rPr>
          <w:rFonts w:ascii="Times New Roman" w:eastAsia="仿宋_GB2312" w:cs="仿宋_GB2312" w:hAnsi="Times New Roman"/>
          <w:sz w:val="24"/>
        </w:rPr>
      </w:pPr>
      <w:r>
        <w:rPr>
          <w:rFonts w:ascii="仿宋_GB2312" w:eastAsia="仿宋_GB2312" w:cs="仿宋_GB2312"/>
          <w:sz w:val="32"/>
          <w:szCs w:val="32"/>
        </w:rPr>
        <w:drawing>
          <wp:anchor distT="0" distB="0" distL="114300" distR="114300" simplePos="0" relativeHeight="101" behindDoc="0" locked="0" layoutInCell="1" hidden="0" allowOverlap="1">
            <wp:simplePos x="0" y="0"/>
            <wp:positionH relativeFrom="column">
              <wp:posOffset>302318</wp:posOffset>
            </wp:positionH>
            <wp:positionV relativeFrom="paragraph">
              <wp:posOffset>137157</wp:posOffset>
            </wp:positionV>
            <wp:extent cx="5299710" cy="2541905"/>
            <wp:effectExtent l="0" t="0" r="0" b="0"/>
            <wp:wrapTopAndBottom/>
            <wp:docPr id="46" name="图表 6"/>
            <wp:cNvGraphicFramePr>
              <a:graphicFrameLocks noChangeAspect="0"/>
            </wp:cNvGraphicFramePr>
            <a:graphic>
              <a:graphicData uri="http://schemas.openxmlformats.org/drawingml/2006/chart">
                <c:chart xmlns:c="http://schemas.openxmlformats.org/drawingml/2006/chart" r:id="rId32"/>
              </a:graphicData>
            </a:graphic>
          </wp:anchor>
        </w:drawing>
      </w:r>
      <w:r>
        <w:rPr>
          <w:rFonts w:ascii="Times New Roman" w:eastAsia="仿宋_GB2312" w:cs="仿宋_GB2312" w:hAnsi="Times New Roman" w:hint="eastAsia"/>
          <w:sz w:val="24"/>
        </w:rPr>
        <w:t>图4-</w:t>
      </w:r>
      <w:r>
        <w:rPr>
          <w:rFonts w:ascii="Times New Roman" w:eastAsia="仿宋_GB2312" w:cs="仿宋_GB2312" w:hAnsi="Times New Roman"/>
          <w:sz w:val="24"/>
        </w:rPr>
        <w:t>3</w:t>
      </w:r>
      <w:r>
        <w:rPr>
          <w:rFonts w:ascii="Times New Roman" w:eastAsia="仿宋_GB2312" w:cs="仿宋_GB2312" w:hAnsi="Times New Roman" w:hint="eastAsia"/>
          <w:sz w:val="24"/>
        </w:rPr>
        <w:t>： 2019-2020、2020-2021学年校内外实训情况</w:t>
      </w:r>
    </w:p>
    <w:p>
      <w:pPr>
        <w:ind w:firstLineChars="200" w:firstLine="640"/>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lang w:val="en-US" w:eastAsia="zh-CN"/>
        </w:rPr>
        <w:t>严格学生顶岗实习管理。</w:t>
      </w:r>
      <w:r>
        <w:rPr>
          <w:rFonts w:ascii="仿宋_GB2312" w:eastAsia="仿宋_GB2312" w:cs="仿宋_GB2312"/>
          <w:color w:val="000000"/>
          <w:kern w:val="0"/>
          <w:sz w:val="32"/>
          <w:szCs w:val="32"/>
        </w:rPr>
        <w:t>各职业学校十分重视学生实习管理工作，通过多种措施规范学生实习实训工作。 一是规范实习管理，完善实习生管理制度，充分做好实习前的准备工作，使实习生安排工作有序推进，实现所有学生应排尽排。针对实习期间的管理对家长及学生进行了培训，并签订了实习管理四方协议书。各学校能主动与实习单位联系，努力拓展新的实习单位。调整实习管理模式，认真做好实习生的常规管理工作。</w:t>
      </w:r>
    </w:p>
    <w:p>
      <w:pPr>
        <w:pStyle w:val="23"/>
        <w:spacing w:beforeAutospacing="0" w:afterAutospacing="0" w:line="560" w:lineRule="exact"/>
        <w:ind w:firstLine="640"/>
        <w:outlineLvl w:val="1"/>
        <w:rPr>
          <w:rFonts w:ascii="仿宋_GB2312" w:eastAsia="仿宋_GB2312" w:cs="仿宋_GB2312"/>
          <w:b/>
          <w:bCs/>
          <w:color w:val="000000"/>
          <w:sz w:val="32"/>
          <w:szCs w:val="32"/>
        </w:rPr>
      </w:pPr>
      <w:bookmarkStart w:id="89" w:name="_Toc23694_WPSOffice_Level2"/>
      <w:bookmarkStart w:id="90" w:name="_Toc59566745"/>
      <w:bookmarkStart w:id="91" w:name="_Toc25720"/>
      <w:bookmarkStart w:id="92" w:name="_Toc19294"/>
      <w:bookmarkStart w:id="93" w:name="_Toc84605541"/>
      <w:r>
        <w:rPr>
          <w:rFonts w:ascii="仿宋_GB2312" w:eastAsia="仿宋_GB2312" w:cs="仿宋_GB2312"/>
          <w:b/>
          <w:bCs/>
          <w:color w:val="000000"/>
          <w:sz w:val="32"/>
          <w:szCs w:val="32"/>
        </w:rPr>
        <w:t>4</w:t>
      </w:r>
      <w:r>
        <w:rPr>
          <w:rFonts w:ascii="仿宋_GB2312" w:eastAsia="仿宋_GB2312" w:cs="仿宋_GB2312" w:hint="eastAsia"/>
          <w:b/>
          <w:bCs/>
          <w:color w:val="000000"/>
          <w:sz w:val="32"/>
          <w:szCs w:val="32"/>
        </w:rPr>
        <w:t xml:space="preserve">.4 </w:t>
      </w:r>
      <w:bookmarkEnd w:id="89"/>
      <w:r>
        <w:rPr>
          <w:rFonts w:ascii="仿宋_GB2312" w:eastAsia="仿宋_GB2312" w:cs="仿宋_GB2312" w:hint="eastAsia"/>
          <w:b/>
          <w:bCs/>
          <w:color w:val="000000"/>
          <w:sz w:val="32"/>
          <w:szCs w:val="32"/>
        </w:rPr>
        <w:t>职教集团</w:t>
      </w:r>
      <w:bookmarkEnd w:id="90"/>
      <w:bookmarkEnd w:id="91"/>
      <w:bookmarkEnd w:id="92"/>
      <w:bookmarkEnd w:id="93"/>
    </w:p>
    <w:p>
      <w:pPr>
        <w:ind w:firstLineChars="200" w:firstLine="640"/>
        <w:rPr>
          <w:rFonts w:ascii="仿宋_GB2312" w:eastAsia="仿宋_GB2312" w:cs="仿宋_GB2312"/>
          <w:color w:val="000000"/>
          <w:kern w:val="0"/>
          <w:sz w:val="32"/>
          <w:szCs w:val="32"/>
        </w:rPr>
      </w:pPr>
      <w:r>
        <w:rPr>
          <w:rFonts w:ascii="仿宋_GB2312" w:eastAsia="仿宋_GB2312" w:cs="仿宋_GB2312"/>
          <w:color w:val="000000"/>
          <w:kern w:val="0"/>
          <w:sz w:val="32"/>
          <w:szCs w:val="32"/>
        </w:rPr>
        <w:t>积极引导全市各职业学校，立足自身专业，对接地方产业，依托行业组织和企业，组建或加盟特色的行业型职教集团，加盟或组建多种形式的行业协会。2020-2021年，我市累计加入38个职教集团，牵头成立13个职教集团（产教联盟），淮安生物工程校组建的“淮台现代农业职业教育集团”定期开展活动，洪泽中专牵头组建旅游服务业产教联盟开展对话会议，集团化办学成果显著。</w:t>
      </w:r>
    </w:p>
    <w:p>
      <w:pPr>
        <w:pStyle w:val="23"/>
        <w:spacing w:beforeAutospacing="0" w:afterAutospacing="0" w:line="500" w:lineRule="exact"/>
        <w:ind w:firstLineChars="200" w:firstLine="640"/>
        <w:outlineLvl w:val="0"/>
        <w:rPr>
          <w:rFonts w:ascii="黑体" w:eastAsia="黑体"/>
          <w:sz w:val="32"/>
          <w:szCs w:val="32"/>
        </w:rPr>
      </w:pPr>
      <w:bookmarkStart w:id="94" w:name="_Toc16873"/>
      <w:bookmarkStart w:id="95" w:name="_Toc84605542"/>
      <w:bookmarkStart w:id="96" w:name="_Toc25979_WPSOffice_Level1"/>
      <w:bookmarkStart w:id="97" w:name="_Toc12495"/>
      <w:r>
        <w:rPr>
          <w:rFonts w:ascii="黑体" w:eastAsia="黑体"/>
          <w:sz w:val="32"/>
          <w:szCs w:val="32"/>
          <w:shd w:val="clear" w:color="auto" w:fill="FFFFFF"/>
        </w:rPr>
        <w:t>5.</w:t>
      </w:r>
      <w:r>
        <w:rPr>
          <w:rFonts w:ascii="黑体" w:eastAsia="黑体" w:hint="eastAsia"/>
          <w:sz w:val="32"/>
          <w:szCs w:val="32"/>
          <w:shd w:val="clear" w:color="auto" w:fill="FFFFFF"/>
        </w:rPr>
        <w:t>社会贡献</w:t>
      </w:r>
      <w:bookmarkEnd w:id="94"/>
      <w:bookmarkEnd w:id="95"/>
      <w:bookmarkEnd w:id="96"/>
      <w:bookmarkEnd w:id="97"/>
    </w:p>
    <w:p>
      <w:pPr>
        <w:spacing w:line="500" w:lineRule="exact"/>
        <w:ind w:firstLine="640"/>
        <w:outlineLvl w:val="1"/>
        <w:rPr>
          <w:rFonts w:ascii="仿宋_GB2312" w:eastAsia="仿宋_GB2312" w:cs="仿宋_GB2312"/>
          <w:b/>
          <w:bCs/>
          <w:color w:val="000000"/>
          <w:kern w:val="0"/>
          <w:sz w:val="32"/>
          <w:szCs w:val="32"/>
        </w:rPr>
      </w:pPr>
      <w:bookmarkStart w:id="98" w:name="_Toc21050_WPSOffice_Level2"/>
      <w:bookmarkStart w:id="99" w:name="_Toc32137"/>
      <w:bookmarkStart w:id="100" w:name="_Toc84605543"/>
      <w:bookmarkStart w:id="101" w:name="_Toc1860"/>
      <w:r>
        <w:rPr>
          <w:rFonts w:ascii="仿宋_GB2312" w:eastAsia="仿宋_GB2312" w:cs="仿宋_GB2312"/>
          <w:b/>
          <w:bCs/>
          <w:color w:val="000000"/>
          <w:kern w:val="0"/>
          <w:sz w:val="32"/>
          <w:szCs w:val="32"/>
        </w:rPr>
        <w:t>5.1</w:t>
      </w:r>
      <w:bookmarkEnd w:id="98"/>
      <w:r>
        <w:rPr>
          <w:rFonts w:ascii="仿宋_GB2312" w:eastAsia="仿宋_GB2312" w:cs="仿宋_GB2312" w:hint="eastAsia"/>
          <w:b/>
          <w:bCs/>
          <w:color w:val="000000"/>
          <w:kern w:val="0"/>
          <w:sz w:val="32"/>
          <w:szCs w:val="32"/>
        </w:rPr>
        <w:t>人才支撑</w:t>
      </w:r>
      <w:bookmarkEnd w:id="99"/>
      <w:bookmarkEnd w:id="100"/>
      <w:bookmarkEnd w:id="101"/>
    </w:p>
    <w:p>
      <w:pPr>
        <w:ind w:firstLineChars="200" w:firstLine="640"/>
        <w:rPr>
          <w:rFonts w:ascii="仿宋_GB2312" w:eastAsia="仿宋_GB2312" w:cs="仿宋_GB2312"/>
          <w:color w:val="000000"/>
          <w:kern w:val="0"/>
          <w:sz w:val="32"/>
          <w:szCs w:val="32"/>
        </w:rPr>
      </w:pPr>
      <w:r>
        <w:rPr>
          <w:rFonts w:ascii="仿宋_GB2312" w:eastAsia="仿宋_GB2312" w:cs="仿宋_GB2312"/>
          <w:color w:val="000000"/>
          <w:kern w:val="0"/>
          <w:sz w:val="32"/>
          <w:szCs w:val="32"/>
        </w:rPr>
        <w:t>《“淮安市333产业人才”集聚行动方案（试行）》将技术技能人才纳入人才招引范围，引进年薪不低于18万元的专业技术或高技能人才，按年薪的25%给予人才一次性补贴。《关于加快人才集聚引领长三角北部现代化中心城市建设的实施意见》提出，聚力引进技术技能人才，对A、B、C类技术技能人才分别给予60万、40万元、20万元奖补。市政府出台《关于进一步推进全市高技能人才培养的实施意见》，明确市财政每年安排不少于300万元专项资金用于高技能人才培训补贴，单列高技能人才参加全市“有突出贡献的中青年专家”选拔计划。市教育局牵头每年举办师生技能大赛，前三名选手直接认定为“市五一创新能手”。2020年校企联合开展社会职业培训84749人，通过考核取得证书53108人，高技能人才总数提升到17.99万名。</w:t>
      </w:r>
    </w:p>
    <w:p>
      <w:pPr>
        <w:pStyle w:val="23"/>
        <w:spacing w:beforeAutospacing="0" w:afterAutospacing="0" w:line="500" w:lineRule="exact"/>
        <w:ind w:firstLine="640"/>
        <w:outlineLvl w:val="1"/>
        <w:rPr>
          <w:rFonts w:ascii="仿宋_GB2312" w:eastAsia="仿宋_GB2312" w:cs="仿宋_GB2312"/>
          <w:b/>
          <w:bCs/>
          <w:color w:val="000000"/>
          <w:sz w:val="32"/>
          <w:szCs w:val="32"/>
        </w:rPr>
      </w:pPr>
      <w:bookmarkStart w:id="102" w:name="_Toc84605544"/>
      <w:bookmarkStart w:id="103" w:name="_Toc2624"/>
      <w:bookmarkStart w:id="104" w:name="_Toc8609"/>
      <w:bookmarkStart w:id="105" w:name="_Toc6080_WPSOffice_Level2"/>
      <w:r>
        <w:rPr>
          <w:rFonts w:ascii="仿宋_GB2312" w:eastAsia="仿宋_GB2312" w:cs="仿宋_GB2312"/>
          <w:b/>
          <w:bCs/>
          <w:color w:val="000000"/>
          <w:sz w:val="32"/>
          <w:szCs w:val="32"/>
        </w:rPr>
        <w:t>5.2社会服务</w:t>
      </w:r>
      <w:bookmarkEnd w:id="102"/>
      <w:bookmarkEnd w:id="103"/>
      <w:bookmarkEnd w:id="104"/>
    </w:p>
    <w:p>
      <w:pPr>
        <w:spacing w:line="640" w:lineRule="exact"/>
        <w:jc w:val="left"/>
        <w:rPr>
          <w:rFonts w:ascii="仿宋_GB2312" w:eastAsia="仿宋_GB2312" w:cs="仿宋_GB2312"/>
          <w:color w:val="000000"/>
          <w:kern w:val="0"/>
          <w:sz w:val="32"/>
          <w:szCs w:val="32"/>
        </w:rPr>
      </w:pPr>
      <w:bookmarkEnd w:id="105"/>
      <w:r>
        <w:rPr>
          <w:rFonts w:ascii="仿宋_GB2312" w:eastAsia="仿宋_GB2312" w:cs="仿宋_GB2312"/>
          <w:color w:val="000000"/>
          <w:kern w:val="0"/>
          <w:sz w:val="32"/>
          <w:szCs w:val="32"/>
        </w:rPr>
        <w:t xml:space="preserve">     职业体验中心服务中小学生劳动教育。全市依托中职学校、驻淮高职院校，目前全市共有体验中心28个，其中省级体验中心16个，每个体验中心平均对接3-5所中小学开展职业体验活动。2021年度共接待体验8989人次。首批6个省级中小学体验中心活动内容丰富，课程安排合理，与对接学校联系紧密，已经在市内颇有影响。职业体验中心通过第二课堂等形式对中小学生开展职业启蒙教育，进行职业规划指导和开展拓展培训，在文化设计上将职业、产业和企业文化融合在一起。力争让每一个体验项目都能达到认知一种职业，感受一种文化，同时通过完整持续的宣传，不断扩大社会影响力，使得体验中心劳动教育主题突出，产业文化鲜明。</w:t>
      </w:r>
    </w:p>
    <w:p>
      <w:pPr>
        <w:spacing w:line="500" w:lineRule="exact"/>
        <w:jc w:val="center"/>
        <w:rPr>
          <w:rFonts w:ascii="Times New Roman" w:eastAsia="仿宋_GB2312" w:cs="仿宋_GB2312" w:hAnsi="Times New Roman"/>
          <w:sz w:val="24"/>
        </w:rPr>
      </w:pPr>
      <w:r>
        <w:rPr>
          <w:rFonts w:ascii="Times New Roman" w:eastAsia="仿宋_GB2312" w:cs="仿宋_GB2312" w:hAnsi="Times New Roman" w:hint="eastAsia"/>
          <w:sz w:val="24"/>
        </w:rPr>
        <w:t>表</w:t>
      </w:r>
      <w:r>
        <w:rPr>
          <w:rFonts w:ascii="Times New Roman" w:eastAsia="仿宋_GB2312" w:cs="仿宋_GB2312" w:hAnsi="Times New Roman"/>
          <w:sz w:val="24"/>
        </w:rPr>
        <w:t>5</w:t>
      </w:r>
      <w:r>
        <w:rPr>
          <w:rFonts w:ascii="Times New Roman" w:eastAsia="仿宋_GB2312" w:cs="仿宋_GB2312" w:hAnsi="Times New Roman" w:hint="eastAsia"/>
          <w:sz w:val="24"/>
        </w:rPr>
        <w:t>-1：淮安市中小学职业体验中心建设情况统计表</w:t>
      </w:r>
      <w:r>
        <w:rPr>
          <w:rFonts w:ascii="Times New Roman" w:eastAsia="仿宋_GB2312" w:cs="仿宋_GB2312" w:hAnsi="Times New Roman"/>
          <w:sz w:val="24"/>
        </w:rPr>
        <w:t xml:space="preserve"> </w:t>
      </w:r>
    </w:p>
    <w:tbl>
      <w:tblPr>
        <w:jc w:val="cente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Grid>
        <w:gridCol w:w="3735"/>
        <w:gridCol w:w="2955"/>
        <w:gridCol w:w="1065"/>
      </w:tblGrid>
      <w:tr>
        <w:tc>
          <w:tcPr>
            <w:tcW w:w="373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rPr>
                <w:rFonts w:ascii="宋体" w:cs="宋体"/>
                <w:b/>
                <w:szCs w:val="21"/>
              </w:rPr>
            </w:pPr>
            <w:r>
              <w:rPr>
                <w:rFonts w:ascii="宋体" w:cs="宋体" w:hint="eastAsia"/>
                <w:b/>
                <w:szCs w:val="21"/>
              </w:rPr>
              <w:t>体验中心名称</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rPr>
                <w:rFonts w:ascii="宋体" w:cs="宋体"/>
                <w:b/>
                <w:szCs w:val="21"/>
              </w:rPr>
            </w:pPr>
            <w:r>
              <w:rPr>
                <w:rFonts w:ascii="宋体" w:cs="宋体" w:hint="eastAsia"/>
                <w:b/>
                <w:szCs w:val="21"/>
              </w:rPr>
              <w:t>建设单位</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rPr>
                <w:rFonts w:ascii="宋体" w:cs="宋体"/>
                <w:b/>
                <w:szCs w:val="21"/>
              </w:rPr>
            </w:pPr>
            <w:r>
              <w:rPr>
                <w:rFonts w:ascii="宋体" w:cs="宋体" w:hint="eastAsia"/>
                <w:b/>
                <w:szCs w:val="21"/>
              </w:rPr>
              <w:t>认定时间</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szCs w:val="21"/>
              </w:rPr>
            </w:pPr>
            <w:r>
              <w:rPr>
                <w:rFonts w:ascii="宋体" w:cs="宋体" w:hint="eastAsia"/>
                <w:color w:val="000000"/>
                <w:kern w:val="0"/>
                <w:szCs w:val="21"/>
              </w:rPr>
              <w:t>淮扬菜旅游服务职业体验中心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szCs w:val="21"/>
              </w:rPr>
            </w:pPr>
            <w:r>
              <w:rPr>
                <w:rFonts w:ascii="宋体" w:cs="宋体" w:hint="eastAsia"/>
                <w:color w:val="000000"/>
                <w:kern w:val="0"/>
                <w:szCs w:val="21"/>
              </w:rPr>
              <w:t>江苏省淮阴商业学校</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2020.08</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szCs w:val="21"/>
              </w:rPr>
            </w:pPr>
            <w:r>
              <w:rPr>
                <w:rFonts w:ascii="宋体" w:cs="宋体" w:hint="eastAsia"/>
                <w:color w:val="000000"/>
                <w:kern w:val="0"/>
                <w:szCs w:val="21"/>
              </w:rPr>
              <w:t>耕读果园职业体验中心</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szCs w:val="21"/>
              </w:rPr>
            </w:pPr>
            <w:r>
              <w:rPr>
                <w:rFonts w:ascii="宋体" w:cs="宋体" w:hint="eastAsia"/>
                <w:color w:val="000000"/>
                <w:kern w:val="0"/>
                <w:szCs w:val="21"/>
              </w:rPr>
              <w:t>淮安生物工程高等职业学校</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2020.08</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szCs w:val="21"/>
              </w:rPr>
            </w:pPr>
            <w:r>
              <w:rPr>
                <w:rFonts w:ascii="宋体" w:cs="宋体" w:hint="eastAsia"/>
                <w:color w:val="000000"/>
                <w:kern w:val="0"/>
                <w:szCs w:val="21"/>
              </w:rPr>
              <w:t>智能制造职业体验中心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szCs w:val="21"/>
              </w:rPr>
            </w:pPr>
            <w:r>
              <w:rPr>
                <w:rFonts w:ascii="宋体" w:cs="宋体" w:hint="eastAsia"/>
                <w:color w:val="000000"/>
                <w:kern w:val="0"/>
                <w:szCs w:val="21"/>
              </w:rPr>
              <w:t>江苏电子信息职业学院</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2020.08</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szCs w:val="21"/>
              </w:rPr>
            </w:pPr>
            <w:r>
              <w:rPr>
                <w:rFonts w:ascii="宋体" w:cs="宋体" w:hint="eastAsia"/>
                <w:color w:val="000000"/>
                <w:kern w:val="0"/>
                <w:szCs w:val="21"/>
              </w:rPr>
              <w:t>3D智能制造职业体验中心</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szCs w:val="21"/>
              </w:rPr>
            </w:pPr>
            <w:r>
              <w:rPr>
                <w:rFonts w:ascii="宋体" w:cs="宋体" w:hint="eastAsia"/>
                <w:color w:val="000000"/>
                <w:kern w:val="0"/>
                <w:szCs w:val="21"/>
              </w:rPr>
              <w:t>江苏省盱眙中等专业学校</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2020.08</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szCs w:val="21"/>
              </w:rPr>
            </w:pPr>
            <w:r>
              <w:rPr>
                <w:rFonts w:ascii="宋体" w:cs="宋体" w:hint="eastAsia"/>
                <w:color w:val="000000"/>
                <w:kern w:val="0"/>
                <w:szCs w:val="21"/>
              </w:rPr>
              <w:t>智造+慧生活职业体验中心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szCs w:val="21"/>
              </w:rPr>
            </w:pPr>
            <w:r>
              <w:rPr>
                <w:rFonts w:ascii="宋体" w:cs="宋体" w:hint="eastAsia"/>
                <w:color w:val="000000"/>
                <w:kern w:val="0"/>
                <w:szCs w:val="21"/>
              </w:rPr>
              <w:t>江苏省洪泽中等专业学校</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2020.08</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szCs w:val="21"/>
              </w:rPr>
            </w:pPr>
            <w:r>
              <w:rPr>
                <w:rFonts w:ascii="宋体" w:cs="宋体" w:hint="eastAsia"/>
                <w:color w:val="000000"/>
                <w:kern w:val="0"/>
                <w:szCs w:val="21"/>
              </w:rPr>
              <w:t>现代物流职业体验中心</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szCs w:val="21"/>
              </w:rPr>
            </w:pPr>
            <w:r>
              <w:rPr>
                <w:rFonts w:ascii="宋体" w:cs="宋体" w:hint="eastAsia"/>
                <w:color w:val="000000"/>
                <w:kern w:val="0"/>
                <w:szCs w:val="21"/>
              </w:rPr>
              <w:t>江苏省淮安中等专业学校</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2020.08</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szCs w:val="21"/>
              </w:rPr>
            </w:pPr>
            <w:r>
              <w:rPr>
                <w:rFonts w:ascii="宋体" w:cs="宋体" w:hint="eastAsia"/>
                <w:color w:val="000000"/>
                <w:kern w:val="0"/>
                <w:szCs w:val="21"/>
              </w:rPr>
              <w:t>智能制造装备操控职业体验中心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szCs w:val="21"/>
              </w:rPr>
            </w:pPr>
            <w:r>
              <w:rPr>
                <w:rFonts w:ascii="宋体" w:cs="宋体" w:hint="eastAsia"/>
                <w:color w:val="000000"/>
                <w:kern w:val="0"/>
                <w:szCs w:val="21"/>
              </w:rPr>
              <w:t>江苏省淮安工业中等专业学校</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2020.08</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高新信息技术职业体验中心</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江苏省淮安中等专业学校</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2019.12</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手工艺术体验中心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江苏省盱眙中等专业学校</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2019.12</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kern w:val="0"/>
                <w:szCs w:val="21"/>
              </w:rPr>
            </w:pPr>
            <w:r>
              <w:rPr>
                <w:rFonts w:ascii="宋体" w:cs="宋体" w:hint="eastAsia"/>
                <w:color w:val="000000"/>
                <w:kern w:val="0"/>
                <w:szCs w:val="21"/>
              </w:rPr>
              <w:t>传统技艺传承与创新手工坊</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color w:val="000000"/>
                <w:kern w:val="0"/>
                <w:szCs w:val="21"/>
              </w:rPr>
              <w:t>江苏电子信息职业学院</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2019.12</w:t>
            </w:r>
          </w:p>
        </w:tc>
      </w:tr>
      <w:tr>
        <w:trPr>
          <w:trHeight w:val="474"/>
        </w:trPr>
        <w:tc>
          <w:tcPr>
            <w:tcW w:w="373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kern w:val="0"/>
                <w:szCs w:val="21"/>
              </w:rPr>
            </w:pPr>
            <w:r>
              <w:rPr>
                <w:rFonts w:ascii="宋体" w:cs="宋体" w:hint="eastAsia"/>
                <w:color w:val="000000"/>
                <w:kern w:val="0"/>
                <w:szCs w:val="21"/>
              </w:rPr>
              <w:t>智慧商科职业体验拓展中心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江苏财经职业技术学院</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2019.12</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kern w:val="0"/>
                <w:szCs w:val="21"/>
              </w:rPr>
            </w:pPr>
            <w:r>
              <w:rPr>
                <w:rFonts w:ascii="宋体" w:cs="宋体" w:hint="eastAsia"/>
                <w:color w:val="000000"/>
                <w:kern w:val="0"/>
                <w:szCs w:val="21"/>
              </w:rPr>
              <w:t>烹饪与酒店服务职业体验中心</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江苏省涟水中等专业学校</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2019.12</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kern w:val="0"/>
                <w:szCs w:val="21"/>
              </w:rPr>
            </w:pPr>
            <w:r>
              <w:rPr>
                <w:rFonts w:ascii="宋体" w:cs="宋体" w:hint="eastAsia"/>
                <w:color w:val="000000"/>
                <w:kern w:val="0"/>
                <w:szCs w:val="21"/>
              </w:rPr>
              <w:t>中西式餐饮制作体验中心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江苏省淮阴中等专业学校</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2019.12</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kern w:val="0"/>
                <w:szCs w:val="21"/>
              </w:rPr>
            </w:pPr>
            <w:r>
              <w:rPr>
                <w:rFonts w:ascii="宋体" w:cs="宋体" w:hint="eastAsia"/>
                <w:color w:val="000000"/>
                <w:kern w:val="0"/>
                <w:szCs w:val="21"/>
              </w:rPr>
              <w:t>汽车维修与保养职业体验中心</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江苏省金湖中等专业学校</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2019.12</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kern w:val="0"/>
                <w:szCs w:val="21"/>
              </w:rPr>
            </w:pPr>
            <w:r>
              <w:rPr>
                <w:rFonts w:ascii="宋体" w:cs="宋体" w:hint="eastAsia"/>
                <w:color w:val="000000"/>
                <w:kern w:val="0"/>
                <w:szCs w:val="21"/>
              </w:rPr>
              <w:t>运动与休闲职业体验中心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江苏省淮安体育运动学校</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2019.12</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kern w:val="0"/>
                <w:szCs w:val="21"/>
              </w:rPr>
            </w:pPr>
            <w:r>
              <w:rPr>
                <w:rFonts w:ascii="宋体" w:cs="宋体" w:hint="eastAsia"/>
                <w:color w:val="000000"/>
                <w:kern w:val="0"/>
                <w:szCs w:val="21"/>
              </w:rPr>
              <w:t>艺术表演职业体验中心</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淮安文化艺术学校</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2019.12</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电子产品装备职业体验中心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江苏省涟水中等专业学校</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2020.12</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工业互联网与智能制造职业体验中心</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江苏财经职业技术学院</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2020.12</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汽修职业体验中心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江苏省淮安工业中等专业学校</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2020.12</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智慧电梯职业体验中心</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江苏电子信息职业学院</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2020.12</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无人机架控体验中心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江苏省盱眙中等专业学校</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2020.12</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中医康复保健技能体验中心</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江苏食品药品职业技术学院</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2020.12</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szCs w:val="21"/>
              </w:rPr>
            </w:pPr>
            <w:r>
              <w:rPr>
                <w:rFonts w:ascii="宋体" w:cs="宋体" w:hint="eastAsia"/>
                <w:color w:val="000000"/>
                <w:kern w:val="0"/>
                <w:szCs w:val="21"/>
              </w:rPr>
              <w:t>健康与康复职业体验中心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江苏护理职业学院</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2020.12</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szCs w:val="21"/>
              </w:rPr>
            </w:pPr>
            <w:r>
              <w:rPr>
                <w:rFonts w:ascii="宋体" w:cs="宋体" w:hint="eastAsia"/>
                <w:color w:val="000000"/>
                <w:szCs w:val="21"/>
              </w:rPr>
              <w:t>共想艺术体验中心</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江苏省淮安中等专业学校</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2020.12</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kern w:val="0"/>
                <w:szCs w:val="21"/>
              </w:rPr>
            </w:pPr>
            <w:r>
              <w:rPr>
                <w:rFonts w:ascii="宋体" w:cs="宋体" w:hint="eastAsia"/>
                <w:color w:val="000000"/>
                <w:kern w:val="0"/>
                <w:szCs w:val="21"/>
              </w:rPr>
              <w:t>会计职业体验中心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江苏省淮阴商业学校</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2020.12</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kern w:val="0"/>
                <w:szCs w:val="21"/>
              </w:rPr>
            </w:pPr>
            <w:r>
              <w:rPr>
                <w:rFonts w:ascii="宋体" w:cs="宋体" w:hint="eastAsia"/>
                <w:color w:val="000000"/>
                <w:kern w:val="0"/>
                <w:szCs w:val="21"/>
              </w:rPr>
              <w:t>龙虾电商体验馆</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江苏省盱眙中等专业学校</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2020.12</w:t>
            </w:r>
          </w:p>
        </w:tc>
      </w:tr>
      <w:tr>
        <w:tc>
          <w:tcPr>
            <w:tcW w:w="3735" w:type="dxa"/>
            <w:tcBorders>
              <w:top w:val="single" w:sz="4" w:space="0" w:color="4BACC6"/>
              <w:left w:val="single" w:sz="4" w:space="0" w:color="4BACC6"/>
              <w:bottom w:val="single" w:sz="4" w:space="0" w:color="4BACC6"/>
              <w:right w:val="single" w:sz="4" w:space="0" w:color="4BACC6"/>
            </w:tcBorders>
            <w:noWrap/>
            <w:vAlign w:val="center"/>
          </w:tcPr>
          <w:p>
            <w:pPr>
              <w:widowControl/>
              <w:jc w:val="left"/>
              <w:textAlignment w:val="center"/>
              <w:rPr>
                <w:rFonts w:ascii="宋体" w:cs="宋体"/>
                <w:color w:val="000000"/>
                <w:kern w:val="0"/>
                <w:szCs w:val="21"/>
              </w:rPr>
            </w:pPr>
            <w:r>
              <w:rPr>
                <w:rFonts w:ascii="宋体" w:cs="宋体" w:hint="eastAsia"/>
                <w:color w:val="000000"/>
                <w:kern w:val="0"/>
                <w:szCs w:val="21"/>
              </w:rPr>
              <w:t>小厨体验中心</w:t>
            </w:r>
          </w:p>
        </w:tc>
        <w:tc>
          <w:tcPr>
            <w:tcW w:w="2955" w:type="dxa"/>
            <w:tcBorders>
              <w:top w:val="single" w:sz="4" w:space="0" w:color="4BACC6"/>
              <w:left w:val="single" w:sz="4" w:space="0" w:color="4BACC6"/>
              <w:bottom w:val="single" w:sz="4" w:space="0" w:color="4BACC6"/>
              <w:right w:val="single" w:sz="4" w:space="0" w:color="4BACC6"/>
            </w:tcBorders>
            <w:noWrap/>
            <w:vAlign w:val="center"/>
          </w:tcPr>
          <w:p>
            <w:pPr>
              <w:jc w:val="left"/>
              <w:rPr>
                <w:rFonts w:ascii="宋体" w:cs="宋体"/>
                <w:szCs w:val="21"/>
              </w:rPr>
            </w:pPr>
            <w:r>
              <w:rPr>
                <w:rFonts w:ascii="宋体" w:cs="宋体" w:hint="eastAsia"/>
                <w:szCs w:val="21"/>
              </w:rPr>
              <w:t>江苏省盱眙中等专业学校</w:t>
            </w:r>
          </w:p>
        </w:tc>
        <w:tc>
          <w:tcPr>
            <w:tcW w:w="1065" w:type="dxa"/>
            <w:tcBorders>
              <w:top w:val="single" w:sz="4" w:space="0" w:color="4BACC6"/>
              <w:left w:val="single" w:sz="4" w:space="0" w:color="4BACC6"/>
              <w:bottom w:val="single" w:sz="4" w:space="0" w:color="4BACC6"/>
              <w:right w:val="single" w:sz="4" w:space="0" w:color="4BACC6"/>
            </w:tcBorders>
            <w:noWrap/>
          </w:tcPr>
          <w:p>
            <w:pPr>
              <w:spacing w:line="500" w:lineRule="exact"/>
              <w:jc w:val="left"/>
              <w:rPr>
                <w:rFonts w:ascii="宋体" w:cs="宋体"/>
                <w:szCs w:val="21"/>
              </w:rPr>
            </w:pPr>
            <w:r>
              <w:rPr>
                <w:rFonts w:ascii="宋体" w:cs="宋体" w:hint="eastAsia"/>
                <w:szCs w:val="21"/>
              </w:rPr>
              <w:t>2020.12</w:t>
            </w:r>
          </w:p>
        </w:tc>
      </w:tr>
      <w:tr>
        <w:tc>
          <w:tcPr>
            <w:tcW w:w="373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widowControl/>
              <w:jc w:val="left"/>
              <w:textAlignment w:val="center"/>
              <w:rPr>
                <w:rFonts w:ascii="宋体" w:cs="宋体"/>
                <w:color w:val="000000"/>
                <w:kern w:val="0"/>
                <w:szCs w:val="21"/>
              </w:rPr>
            </w:pPr>
            <w:r>
              <w:rPr>
                <w:rFonts w:ascii="宋体" w:cs="宋体" w:hint="eastAsia"/>
                <w:color w:val="000000"/>
                <w:kern w:val="0"/>
                <w:szCs w:val="21"/>
              </w:rPr>
              <w:t>制药工程实验体验中心</w:t>
            </w:r>
          </w:p>
        </w:tc>
        <w:tc>
          <w:tcPr>
            <w:tcW w:w="2955" w:type="dxa"/>
            <w:tcBorders>
              <w:top w:val="single" w:sz="4" w:space="0" w:color="4BACC6"/>
              <w:left w:val="single" w:sz="4" w:space="0" w:color="4BACC6"/>
              <w:bottom w:val="single" w:sz="4" w:space="0" w:color="4BACC6"/>
              <w:right w:val="single" w:sz="4" w:space="0" w:color="4BACC6"/>
            </w:tcBorders>
            <w:shd w:val="clear" w:color="auto" w:fill="DBEEF3"/>
            <w:noWrap/>
            <w:vAlign w:val="center"/>
          </w:tcPr>
          <w:p>
            <w:pPr>
              <w:jc w:val="left"/>
              <w:rPr>
                <w:rFonts w:ascii="宋体" w:cs="宋体"/>
                <w:szCs w:val="21"/>
              </w:rPr>
            </w:pPr>
            <w:r>
              <w:rPr>
                <w:rFonts w:ascii="宋体" w:cs="宋体" w:hint="eastAsia"/>
                <w:szCs w:val="21"/>
              </w:rPr>
              <w:t>江苏食品药品职业技术学院</w:t>
            </w:r>
          </w:p>
        </w:tc>
        <w:tc>
          <w:tcPr>
            <w:tcW w:w="1065" w:type="dxa"/>
            <w:tcBorders>
              <w:top w:val="single" w:sz="4" w:space="0" w:color="4BACC6"/>
              <w:left w:val="single" w:sz="4" w:space="0" w:color="4BACC6"/>
              <w:bottom w:val="single" w:sz="4" w:space="0" w:color="4BACC6"/>
              <w:right w:val="single" w:sz="4" w:space="0" w:color="4BACC6"/>
            </w:tcBorders>
            <w:shd w:val="clear" w:color="auto" w:fill="DBEEF3"/>
            <w:noWrap/>
          </w:tcPr>
          <w:p>
            <w:pPr>
              <w:spacing w:line="500" w:lineRule="exact"/>
              <w:jc w:val="left"/>
              <w:rPr>
                <w:rFonts w:ascii="宋体" w:cs="宋体"/>
                <w:szCs w:val="21"/>
              </w:rPr>
            </w:pPr>
            <w:r>
              <w:rPr>
                <w:rFonts w:ascii="宋体" w:cs="宋体" w:hint="eastAsia"/>
                <w:szCs w:val="21"/>
              </w:rPr>
              <w:t>2020.12</w:t>
            </w:r>
          </w:p>
        </w:tc>
      </w:tr>
    </w:tbl>
    <w:p>
      <w:pPr>
        <w:tabs>
          <w:tab w:val="left" w:pos="1060"/>
        </w:tabs>
        <w:ind w:firstLineChars="200" w:firstLine="640"/>
        <w:rPr>
          <w:rFonts w:ascii="仿宋_GB2312" w:eastAsia="仿宋_GB2312" w:cs="仿宋_GB2312"/>
          <w:sz w:val="32"/>
          <w:szCs w:val="32"/>
        </w:rPr>
      </w:pPr>
      <w:r>
        <w:rPr>
          <w:rFonts w:ascii="仿宋_GB2312" w:eastAsia="仿宋_GB2312" w:cs="仿宋_GB2312"/>
          <w:sz w:val="32"/>
          <w:szCs w:val="32"/>
        </w:rPr>
        <w:t>服务特殊群体，促进就业创业。克服疫情带来的不利影响，2021年度，各职业学校分别面对村干部、职业农民、低收入农户开展了不同项目的职业培训。2021年度，开展非学历培训达20959人，其中技术技能培训12228人，新型职业农民培训6215人，退役军人培训服务2297人，实现非学历职业培训到款额达1325.969万元。</w:t>
      </w:r>
    </w:p>
    <w:p>
      <w:pPr>
        <w:pStyle w:val="18"/>
      </w:pPr>
    </w:p>
    <w:p>
      <w:pPr>
        <w:ind w:left="0"/>
        <w:jc w:val="center"/>
        <w:rPr>
          <w:rFonts w:ascii="Times New Roman" w:eastAsia="仿宋_GB2312" w:cs="仿宋_GB2312" w:hAnsi="Times New Roman"/>
          <w:sz w:val="24"/>
        </w:rPr>
      </w:pPr>
      <w:r>
        <w:rPr>
          <w:rFonts w:ascii="Times New Roman" w:eastAsia="仿宋_GB2312" w:cs="仿宋_GB2312" w:hAnsi="Times New Roman" w:hint="eastAsia"/>
          <w:sz w:val="24"/>
        </w:rPr>
        <w:drawing>
          <wp:anchor distT="0" distB="0" distL="114300" distR="114300" simplePos="0" relativeHeight="103" behindDoc="0" locked="0" layoutInCell="1" hidden="0" allowOverlap="1">
            <wp:simplePos x="0" y="0"/>
            <wp:positionH relativeFrom="column">
              <wp:posOffset>934102</wp:posOffset>
            </wp:positionH>
            <wp:positionV relativeFrom="paragraph">
              <wp:posOffset>67340</wp:posOffset>
            </wp:positionV>
            <wp:extent cx="3886200" cy="1936749"/>
            <wp:effectExtent l="0" t="0" r="0" b="0"/>
            <wp:wrapTopAndBottom/>
            <wp:docPr id="47" name="图表 36"/>
            <wp:cNvGraphicFramePr>
              <a:graphicFrameLocks noChangeAspect="0"/>
            </wp:cNvGraphicFramePr>
            <a:graphic>
              <a:graphicData uri="http://schemas.openxmlformats.org/drawingml/2006/chart">
                <c:chart xmlns:c="http://schemas.openxmlformats.org/drawingml/2006/chart" r:id="rId33"/>
              </a:graphicData>
            </a:graphic>
          </wp:anchor>
        </w:drawing>
      </w:r>
      <w:r>
        <w:rPr>
          <w:rFonts w:ascii="Times New Roman" w:eastAsia="仿宋_GB2312" w:cs="仿宋_GB2312" w:hAnsi="Times New Roman" w:hint="eastAsia"/>
          <w:sz w:val="24"/>
        </w:rPr>
        <w:t>图5-</w:t>
      </w:r>
      <w:r>
        <w:rPr>
          <w:rFonts w:ascii="Times New Roman" w:eastAsia="仿宋_GB2312" w:cs="仿宋_GB2312" w:hAnsi="Times New Roman"/>
          <w:sz w:val="24"/>
        </w:rPr>
        <w:t>2</w:t>
      </w:r>
      <w:r>
        <w:rPr>
          <w:rFonts w:ascii="Times New Roman" w:eastAsia="仿宋_GB2312" w:cs="仿宋_GB2312" w:hAnsi="Times New Roman" w:hint="eastAsia"/>
          <w:sz w:val="24"/>
        </w:rPr>
        <w:t>:</w:t>
      </w:r>
      <w:r>
        <w:rPr>
          <w:rFonts w:ascii="Times New Roman" w:eastAsia="仿宋_GB2312" w:cs="仿宋_GB2312" w:hAnsi="Times New Roman"/>
          <w:sz w:val="24"/>
        </w:rPr>
        <w:t>2021</w:t>
      </w:r>
      <w:r>
        <w:rPr>
          <w:rFonts w:ascii="Times New Roman" w:eastAsia="仿宋_GB2312" w:cs="仿宋_GB2312" w:hAnsi="Times New Roman" w:hint="eastAsia"/>
          <w:sz w:val="24"/>
        </w:rPr>
        <w:t>年全市非学历职业培训服务分布图</w:t>
      </w:r>
    </w:p>
    <w:p>
      <w:pPr>
        <w:rPr>
          <w:rFonts w:ascii="Times New Roman" w:eastAsia="仿宋_GB2312" w:cs="仿宋_GB2312" w:hAnsi="Times New Roman"/>
          <w:sz w:val="24"/>
        </w:rPr>
      </w:pPr>
      <w:r>
        <w:rPr>
          <w:rFonts w:hint="eastAsia"/>
        </w:rPr>
        <w:drawing>
          <wp:anchor distT="0" distB="0" distL="114300" distR="114300" simplePos="0" relativeHeight="105" behindDoc="0" locked="0" layoutInCell="1" hidden="0" allowOverlap="1">
            <wp:simplePos x="0" y="0"/>
            <wp:positionH relativeFrom="column">
              <wp:posOffset>502340</wp:posOffset>
            </wp:positionH>
            <wp:positionV relativeFrom="paragraph">
              <wp:posOffset>207737</wp:posOffset>
            </wp:positionV>
            <wp:extent cx="4959350" cy="2311400"/>
            <wp:effectExtent l="0" t="0" r="0" b="0"/>
            <wp:wrapTopAndBottom/>
            <wp:docPr id="48" name="图表 37"/>
            <wp:cNvGraphicFramePr>
              <a:graphicFrameLocks noChangeAspect="0"/>
            </wp:cNvGraphicFramePr>
            <a:graphic>
              <a:graphicData uri="http://schemas.openxmlformats.org/drawingml/2006/chart">
                <c:chart xmlns:c="http://schemas.openxmlformats.org/drawingml/2006/chart" r:id="rId34"/>
              </a:graphicData>
            </a:graphic>
          </wp:anchor>
        </w:drawing>
      </w:r>
    </w:p>
    <w:p>
      <w:pPr>
        <w:pStyle w:val="18"/>
      </w:pPr>
      <w:r>
        <w:rPr>
          <w:rFonts w:hint="eastAsia"/>
        </w:rPr>
        <w:t xml:space="preserve"> </w:t>
      </w:r>
      <w:r>
        <w:t xml:space="preserve">            </w:t>
      </w:r>
      <w:r>
        <w:rPr>
          <w:rFonts w:eastAsia="仿宋_GB2312" w:cs="仿宋_GB2312" w:hint="eastAsia"/>
        </w:rPr>
        <w:t>图5-</w:t>
      </w:r>
      <w:r>
        <w:rPr>
          <w:rFonts w:eastAsia="仿宋_GB2312" w:cs="仿宋_GB2312"/>
        </w:rPr>
        <w:t>3</w:t>
      </w:r>
      <w:r>
        <w:rPr>
          <w:rFonts w:eastAsia="仿宋_GB2312" w:cs="仿宋_GB2312" w:hint="eastAsia"/>
        </w:rPr>
        <w:t>:</w:t>
      </w:r>
      <w:r>
        <w:rPr>
          <w:rFonts w:eastAsia="仿宋_GB2312" w:cs="仿宋_GB2312"/>
        </w:rPr>
        <w:t>2020</w:t>
      </w:r>
      <w:r>
        <w:rPr>
          <w:rFonts w:eastAsia="仿宋_GB2312" w:cs="仿宋_GB2312" w:hint="eastAsia"/>
        </w:rPr>
        <w:t>、2</w:t>
      </w:r>
      <w:r>
        <w:rPr>
          <w:rFonts w:eastAsia="仿宋_GB2312" w:cs="仿宋_GB2312"/>
        </w:rPr>
        <w:t>021</w:t>
      </w:r>
      <w:r>
        <w:rPr>
          <w:rFonts w:eastAsia="仿宋_GB2312" w:cs="仿宋_GB2312" w:hint="eastAsia"/>
        </w:rPr>
        <w:t>年非学历职业培训服务人数及对比</w:t>
      </w:r>
    </w:p>
    <w:p>
      <w:pPr>
        <w:widowControl/>
        <w:shd w:val="clear" w:color="auto" w:fill="FFFFFF"/>
        <w:jc w:val="center"/>
        <w:outlineLvl w:val="0"/>
        <w:rPr>
          <w:rFonts w:ascii="黑体" w:eastAsia="黑体" w:cs="微软雅黑" w:hint="eastAsia"/>
          <w:color w:val="000000"/>
          <w:kern w:val="44"/>
          <w:sz w:val="28"/>
          <w:szCs w:val="28"/>
          <w:shd w:val="clear" w:color="auto" w:fill="FFFFFF"/>
        </w:rPr>
      </w:pPr>
      <w:bookmarkStart w:id="106" w:name="_Toc84605504"/>
      <w:bookmarkStart w:id="107" w:name="_Toc84605545"/>
      <w:bookmarkStart w:id="108" w:name="_Toc21077"/>
      <w:bookmarkStart w:id="109" w:name="_Toc5235"/>
      <w:r>
        <w:rPr>
          <w:rFonts w:ascii="黑体" w:eastAsia="黑体" w:cs="微软雅黑" w:hint="eastAsia"/>
          <w:color w:val="000000"/>
          <w:kern w:val="44"/>
          <w:sz w:val="28"/>
          <w:szCs w:val="28"/>
          <w:shd w:val="clear" w:color="auto" w:fill="FFFFFF"/>
        </w:rPr>
        <w:t>典型案例</w:t>
      </w:r>
      <w:r>
        <w:rPr>
          <w:rFonts w:ascii="黑体" w:eastAsia="黑体" w:cs="微软雅黑"/>
          <w:color w:val="000000"/>
          <w:kern w:val="44"/>
          <w:sz w:val="28"/>
          <w:szCs w:val="28"/>
          <w:shd w:val="clear" w:color="auto" w:fill="FFFFFF"/>
        </w:rPr>
        <w:t>9</w:t>
      </w:r>
      <w:r>
        <w:rPr>
          <w:rFonts w:ascii="黑体" w:eastAsia="黑体" w:cs="微软雅黑" w:hint="eastAsia"/>
          <w:color w:val="000000"/>
          <w:kern w:val="44"/>
          <w:sz w:val="28"/>
          <w:szCs w:val="28"/>
          <w:shd w:val="clear" w:color="auto" w:fill="FFFFFF"/>
        </w:rPr>
        <w:t>：金湖中专专项培训为退役军人插上腾飞的翅膀</w:t>
      </w:r>
      <w:bookmarkEnd w:id="106"/>
      <w:bookmarkEnd w:id="107"/>
    </w:p>
    <w:p>
      <w:pPr>
        <w:spacing w:line="500" w:lineRule="exact"/>
        <w:ind w:firstLine="601"/>
        <w:rPr>
          <w:rFonts w:ascii="方正楷体_GBK" w:eastAsia="方正楷体_GBK" w:cs="Times New Roman" w:hint="eastAsia"/>
          <w:sz w:val="28"/>
          <w:szCs w:val="28"/>
        </w:rPr>
      </w:pPr>
      <w:r>
        <w:rPr>
          <w:rFonts w:ascii="方正楷体_GBK" w:eastAsia="方正楷体_GBK" w:cs="Times New Roman" w:hint="eastAsia"/>
          <w:sz w:val="28"/>
          <w:szCs w:val="28"/>
        </w:rPr>
        <w:t>2020年冬季退役士兵适应性培训，使退役军人尽快调整心理，转换角色，适应新的生活工作环境，进一步提升个人知识水平和职业技能，做好职业规划，增强就业竞争能力和创业能力，走好就业创业之路。学校领导高度重视，专门召开了适应性培训工作推进会，成立培训领导小组，组建专职管理团队，制定详细可行的退役军人培训办法和规章制度；单独为退役军人学员配置了先进的教学设备，对学员尽量生活上照顾，学习上关心；为学员挑选优秀教师任教，聘请社会能工巧匠授课；为培训班配备了责任心强的班主任，进行严格管理，热心服务；精心编制培训日程安排表。军人事务局、公安局、教体局、财政局、人社局等六家单位对培训资质进行现场审核，获得一致好评。</w:t>
      </w:r>
    </w:p>
    <w:p>
      <w:pPr>
        <w:jc w:val="center"/>
        <w:rPr>
          <w:rFonts w:ascii="Times New Roman" w:eastAsia="宋体" w:cs="Times New Roman" w:hAnsi="Times New Roman"/>
          <w:szCs w:val="24"/>
        </w:rPr>
      </w:pPr>
      <w:r>
        <w:rPr>
          <w:rFonts w:ascii="宋体" w:eastAsia="宋体" w:cs="Arial" w:hint="eastAsia"/>
          <w:color w:val="333333"/>
          <w:sz w:val="28"/>
          <w:szCs w:val="28"/>
          <w:shd w:val="clear" w:color="auto" w:fill="FFFFFF"/>
        </w:rPr>
        <w:t xml:space="preserve"> </w:t>
      </w:r>
      <w:r>
        <w:rPr>
          <w:rFonts w:ascii="Times New Roman" w:eastAsia="宋体" w:cs="Times New Roman" w:hAnsi="Times New Roman" w:hint="eastAsia"/>
          <w:szCs w:val="24"/>
        </w:rPr>
        <w:t xml:space="preserve">  </w:t>
      </w:r>
      <w:r>
        <w:rPr>
          <w:rFonts w:ascii="Times New Roman" w:eastAsia="宋体" w:cs="Times New Roman" w:hAnsi="Times New Roman" w:hint="eastAsia"/>
          <w:szCs w:val="24"/>
        </w:rPr>
        <w:drawing>
          <wp:inline distT="0" distB="0" distL="0" distR="0">
            <wp:extent cx="3229610" cy="1849754"/>
            <wp:effectExtent l="0" t="0" r="18" b="28"/>
            <wp:docPr id="49" name="图片 1" descr="954589fd86b014ce2cca9c13514998c"/>
            <wp:cNvGraphicFramePr>
              <a:graphicFrameLocks noChangeAspect="1"/>
            </wp:cNvGraphicFramePr>
            <a:graphic>
              <a:graphicData uri="http://schemas.openxmlformats.org/drawingml/2006/picture">
                <pic:pic>
                  <pic:nvPicPr>
                    <pic:cNvPr id="51" name="图片 1 51"/>
                    <pic:cNvPicPr/>
                  </pic:nvPicPr>
                  <pic:blipFill>
                    <a:blip r:embed="rId35"/>
                    <a:stretch>
                      <a:fillRect/>
                    </a:stretch>
                  </pic:blipFill>
                  <pic:spPr>
                    <a:xfrm rot="0">
                      <a:off x="0" y="0"/>
                      <a:ext cx="3229610" cy="1849754"/>
                    </a:xfrm>
                    <a:prstGeom prst="rect"/>
                    <a:noFill/>
                    <a:ln w="9525" cmpd="sng" cap="flat">
                      <a:noFill/>
                      <a:prstDash val="solid"/>
                      <a:round/>
                    </a:ln>
                  </pic:spPr>
                </pic:pic>
              </a:graphicData>
            </a:graphic>
          </wp:inline>
        </w:drawing>
      </w:r>
    </w:p>
    <w:p>
      <w:pPr>
        <w:jc w:val="center"/>
        <w:rPr>
          <w:rFonts w:ascii="sans-serif" w:eastAsia="sans-serif" w:cs="sans-serif" w:hAnsi="sans-serif"/>
          <w:sz w:val="26"/>
          <w:szCs w:val="26"/>
          <w:shd w:val="clear" w:color="auto" w:fill="FFFFFF"/>
        </w:rPr>
      </w:pPr>
      <w:r>
        <w:rPr>
          <w:rFonts w:ascii="仿宋_GB2312" w:eastAsia="仿宋_GB2312" w:cs="仿宋_GB2312"/>
          <w:szCs w:val="21"/>
        </w:rPr>
        <w:t>图5-4 金湖县2020年冬季退役士兵培训</w:t>
      </w:r>
    </w:p>
    <w:p>
      <w:pPr>
        <w:snapToGrid w:val="0"/>
        <w:spacing w:line="560" w:lineRule="atLeast"/>
        <w:ind w:firstLineChars="200" w:firstLine="640"/>
        <w:rPr>
          <w:rFonts w:ascii="仿宋_GB2312" w:eastAsia="仿宋_GB2312" w:cs="仿宋_GB2312"/>
          <w:sz w:val="32"/>
          <w:szCs w:val="32"/>
        </w:rPr>
      </w:pPr>
      <w:r>
        <w:rPr>
          <w:rFonts w:ascii="仿宋_GB2312" w:eastAsia="仿宋_GB2312" w:cs="仿宋_GB2312"/>
          <w:sz w:val="32"/>
          <w:szCs w:val="32"/>
        </w:rPr>
        <w:t>各职业学校积极利用本校专业教师资源，开展基层和企业技术服务工作，2021年度，技术服务到款额202.565万元，比2020年增加了80.025万元。</w:t>
      </w:r>
    </w:p>
    <w:p>
      <w:pPr>
        <w:pStyle w:val="23"/>
        <w:spacing w:beforeAutospacing="0" w:afterAutospacing="0" w:line="500" w:lineRule="exact"/>
        <w:jc w:val="center"/>
        <w:rPr>
          <w:rFonts w:ascii="Times New Roman" w:eastAsia="仿宋_GB2312" w:cs="仿宋_GB2312" w:hAnsi="Times New Roman"/>
          <w:kern w:val="2"/>
        </w:rPr>
      </w:pPr>
      <w:bookmarkStart w:id="110" w:name="_Hlk90489917"/>
      <w:r>
        <w:rPr>
          <w:rFonts w:ascii="Times New Roman" w:eastAsia="仿宋_GB2312" w:cs="仿宋_GB2312" w:hAnsi="Times New Roman" w:hint="eastAsia"/>
          <w:kern w:val="2"/>
        </w:rPr>
        <w:t>表</w:t>
      </w:r>
      <w:r>
        <w:rPr>
          <w:rFonts w:ascii="Times New Roman" w:eastAsia="仿宋_GB2312" w:cs="仿宋_GB2312" w:hAnsi="Times New Roman"/>
          <w:kern w:val="2"/>
        </w:rPr>
        <w:t>5</w:t>
      </w:r>
      <w:r>
        <w:rPr>
          <w:rFonts w:ascii="Times New Roman" w:eastAsia="仿宋_GB2312" w:cs="仿宋_GB2312" w:hAnsi="Times New Roman" w:hint="eastAsia"/>
          <w:kern w:val="2"/>
        </w:rPr>
        <w:t>-</w:t>
      </w:r>
      <w:r>
        <w:rPr>
          <w:rFonts w:ascii="Times New Roman" w:eastAsia="仿宋_GB2312" w:cs="仿宋_GB2312" w:hAnsi="Times New Roman"/>
          <w:kern w:val="2"/>
        </w:rPr>
        <w:t>2</w:t>
      </w:r>
      <w:r>
        <w:rPr>
          <w:rFonts w:ascii="Times New Roman" w:eastAsia="仿宋_GB2312" w:cs="仿宋_GB2312" w:hAnsi="Times New Roman" w:hint="eastAsia"/>
          <w:kern w:val="2"/>
        </w:rPr>
        <w:t>： 部分学校对企业技术服务情况</w:t>
      </w:r>
    </w:p>
    <w:tbl>
      <w:tblPr>
        <w:jc w:val="center"/>
        <w:tblW w:w="8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604"/>
        <w:gridCol w:w="3081"/>
        <w:gridCol w:w="2348"/>
        <w:gridCol w:w="1527"/>
      </w:tblGrid>
      <w:tr>
        <w:tc>
          <w:tcPr>
            <w:tcW w:w="1604" w:type="dxa"/>
            <w:tcBorders>
              <w:top w:val="single" w:sz="8" w:space="0" w:color="4BACC6"/>
              <w:left w:val="single" w:sz="8" w:space="0" w:color="4BACC6"/>
              <w:bottom w:val="single" w:sz="18" w:space="0" w:color="FFFFFF"/>
              <w:right w:val="single" w:sz="4" w:space="0" w:color="FFFFFF"/>
            </w:tcBorders>
            <w:shd w:val="clear" w:color="auto" w:fill="4BACC6"/>
            <w:noWrap/>
            <w:vAlign w:val="center"/>
          </w:tcPr>
          <w:p>
            <w:pPr>
              <w:spacing w:line="300" w:lineRule="exact"/>
              <w:rPr>
                <w:rFonts w:ascii="宋体" w:cs="宋体"/>
                <w:b/>
                <w:bCs/>
                <w:color w:val="FFFFFF"/>
                <w:sz w:val="24"/>
                <w:shd w:val="clear" w:color="auto" w:fill="FFFFFF"/>
              </w:rPr>
            </w:pPr>
            <w:r>
              <w:rPr>
                <w:rFonts w:ascii="宋体" w:cs="宋体" w:hint="eastAsia"/>
                <w:b/>
                <w:bCs/>
                <w:color w:val="FFFFFF"/>
                <w:sz w:val="24"/>
              </w:rPr>
              <w:t>学校</w:t>
            </w:r>
          </w:p>
        </w:tc>
        <w:tc>
          <w:tcPr>
            <w:tcW w:w="3081" w:type="dxa"/>
            <w:tcBorders>
              <w:top w:val="single" w:sz="8" w:space="0" w:color="4BACC6"/>
              <w:left w:val="single" w:sz="4" w:space="0" w:color="FFFFFF"/>
              <w:bottom w:val="single" w:sz="18" w:space="0" w:color="FFFFFF"/>
              <w:right w:val="single" w:sz="4" w:space="0" w:color="FFFFFF"/>
            </w:tcBorders>
            <w:shd w:val="clear" w:color="auto" w:fill="4BACC6"/>
            <w:noWrap/>
            <w:vAlign w:val="center"/>
          </w:tcPr>
          <w:p>
            <w:pPr>
              <w:spacing w:line="300" w:lineRule="exact"/>
              <w:rPr>
                <w:rFonts w:ascii="宋体" w:cs="宋体"/>
                <w:b/>
                <w:bCs/>
                <w:color w:val="FFFFFF"/>
                <w:sz w:val="24"/>
                <w:shd w:val="clear" w:color="auto" w:fill="FFFFFF"/>
              </w:rPr>
            </w:pPr>
            <w:r>
              <w:rPr>
                <w:rFonts w:ascii="宋体" w:cs="宋体" w:hint="eastAsia"/>
                <w:b/>
                <w:bCs/>
                <w:color w:val="FFFFFF"/>
                <w:sz w:val="24"/>
              </w:rPr>
              <w:t>技术服务对象单位</w:t>
            </w:r>
          </w:p>
        </w:tc>
        <w:tc>
          <w:tcPr>
            <w:tcW w:w="2348" w:type="dxa"/>
            <w:tcBorders>
              <w:top w:val="single" w:sz="8" w:space="0" w:color="4BACC6"/>
              <w:left w:val="single" w:sz="4" w:space="0" w:color="FFFFFF"/>
              <w:bottom w:val="single" w:sz="18" w:space="0" w:color="FFFFFF"/>
              <w:right w:val="single" w:sz="4" w:space="0" w:color="FFFFFF"/>
            </w:tcBorders>
            <w:shd w:val="clear" w:color="auto" w:fill="4BACC6"/>
            <w:noWrap/>
            <w:vAlign w:val="center"/>
          </w:tcPr>
          <w:p>
            <w:pPr>
              <w:spacing w:line="300" w:lineRule="exact"/>
              <w:rPr>
                <w:rFonts w:ascii="宋体" w:cs="宋体"/>
                <w:b/>
                <w:bCs/>
                <w:color w:val="FFFFFF"/>
                <w:sz w:val="24"/>
                <w:shd w:val="clear" w:color="auto" w:fill="FFFFFF"/>
              </w:rPr>
            </w:pPr>
            <w:r>
              <w:rPr>
                <w:rFonts w:ascii="宋体" w:cs="宋体" w:hint="eastAsia"/>
                <w:b/>
                <w:bCs/>
                <w:color w:val="FFFFFF"/>
                <w:sz w:val="24"/>
              </w:rPr>
              <w:t>技术服务项目</w:t>
            </w:r>
          </w:p>
        </w:tc>
        <w:tc>
          <w:tcPr>
            <w:tcW w:w="1527" w:type="dxa"/>
            <w:tcBorders>
              <w:top w:val="single" w:sz="8" w:space="0" w:color="4BACC6"/>
              <w:left w:val="single" w:sz="4" w:space="0" w:color="FFFFFF"/>
              <w:bottom w:val="single" w:sz="18" w:space="0" w:color="FFFFFF"/>
              <w:right w:val="single" w:sz="8" w:space="0" w:color="4BACC6"/>
            </w:tcBorders>
            <w:shd w:val="clear" w:color="auto" w:fill="4BACC6"/>
            <w:noWrap/>
            <w:vAlign w:val="center"/>
          </w:tcPr>
          <w:p>
            <w:pPr>
              <w:spacing w:line="300" w:lineRule="exact"/>
              <w:rPr>
                <w:rFonts w:ascii="宋体" w:cs="宋体"/>
                <w:b/>
                <w:bCs/>
                <w:color w:val="FFFFFF"/>
                <w:sz w:val="24"/>
                <w:shd w:val="clear" w:color="auto" w:fill="FFFFFF"/>
              </w:rPr>
            </w:pPr>
            <w:r>
              <w:rPr>
                <w:rFonts w:ascii="宋体" w:cs="宋体" w:hint="eastAsia"/>
                <w:b/>
                <w:bCs/>
                <w:color w:val="FFFFFF"/>
                <w:sz w:val="24"/>
              </w:rPr>
              <w:t>产生效益</w:t>
            </w:r>
          </w:p>
        </w:tc>
      </w:tr>
      <w:tr>
        <w:tc>
          <w:tcPr>
            <w:tcW w:w="1604" w:type="dxa"/>
            <w:vMerge w:val="restart"/>
            <w:tcBorders>
              <w:top w:val="single" w:sz="18" w:space="0" w:color="FFFFFF"/>
              <w:left w:val="single" w:sz="8" w:space="0" w:color="4BACC6"/>
              <w:bottom w:val="single" w:sz="8" w:space="0" w:color="4BACC6"/>
              <w:right w:val="single" w:sz="8" w:space="0" w:color="4BACC6"/>
            </w:tcBorders>
            <w:shd w:val="clear" w:color="auto" w:fill="B7DDE8"/>
            <w:noWrap/>
            <w:vAlign w:val="center"/>
          </w:tcPr>
          <w:p>
            <w:pPr>
              <w:pStyle w:val="23"/>
              <w:spacing w:beforeAutospacing="0" w:afterAutospacing="0" w:line="300" w:lineRule="exact"/>
              <w:jc w:val="both"/>
              <w:rPr>
                <w:rFonts w:ascii="宋体" w:cs="宋体"/>
                <w:color w:val="000000"/>
                <w:shd w:val="clear" w:color="auto" w:fill="FFFFFF"/>
              </w:rPr>
            </w:pPr>
            <w:r>
              <w:rPr>
                <w:rFonts w:ascii="宋体" w:cs="宋体" w:hint="eastAsia"/>
                <w:color w:val="000000"/>
                <w:shd w:val="clear" w:color="auto" w:fill="FFFFFF"/>
              </w:rPr>
              <w:t>淮阴中专</w:t>
            </w:r>
          </w:p>
        </w:tc>
        <w:tc>
          <w:tcPr>
            <w:tcW w:w="3081" w:type="dxa"/>
            <w:tcBorders>
              <w:top w:val="single" w:sz="18" w:space="0" w:color="FFFFFF"/>
              <w:left w:val="single" w:sz="8" w:space="0" w:color="4BACC6"/>
              <w:bottom w:val="single" w:sz="8" w:space="0" w:color="4BACC6"/>
              <w:right w:val="single" w:sz="8" w:space="0" w:color="4BACC6"/>
            </w:tcBorders>
            <w:shd w:val="clear" w:color="auto" w:fill="B7DDE8"/>
            <w:noWrap/>
            <w:vAlign w:val="center"/>
          </w:tcPr>
          <w:p>
            <w:pPr>
              <w:widowControl/>
              <w:spacing w:line="300" w:lineRule="exact"/>
              <w:textAlignment w:val="center"/>
              <w:rPr>
                <w:rFonts w:ascii="宋体" w:cs="宋体"/>
                <w:color w:val="000000"/>
                <w:sz w:val="24"/>
                <w:shd w:val="clear" w:color="auto" w:fill="FFFFFF"/>
              </w:rPr>
            </w:pPr>
            <w:r>
              <w:rPr>
                <w:rFonts w:ascii="宋体" w:cs="宋体" w:hint="eastAsia"/>
                <w:color w:val="000000"/>
                <w:kern w:val="0"/>
                <w:sz w:val="24"/>
              </w:rPr>
              <w:t>长江液压公司</w:t>
            </w:r>
          </w:p>
        </w:tc>
        <w:tc>
          <w:tcPr>
            <w:tcW w:w="2348" w:type="dxa"/>
            <w:tcBorders>
              <w:top w:val="single" w:sz="18" w:space="0" w:color="FFFFFF"/>
              <w:left w:val="single" w:sz="8" w:space="0" w:color="4BACC6"/>
              <w:bottom w:val="single" w:sz="8" w:space="0" w:color="4BACC6"/>
              <w:right w:val="single" w:sz="8" w:space="0" w:color="4BACC6"/>
            </w:tcBorders>
            <w:shd w:val="clear" w:color="auto" w:fill="B7DDE8"/>
            <w:noWrap/>
            <w:vAlign w:val="center"/>
          </w:tcPr>
          <w:p>
            <w:pPr>
              <w:widowControl/>
              <w:spacing w:line="300" w:lineRule="exact"/>
              <w:textAlignment w:val="center"/>
              <w:rPr>
                <w:rFonts w:ascii="宋体" w:cs="宋体"/>
                <w:color w:val="000000"/>
                <w:sz w:val="24"/>
                <w:shd w:val="clear" w:color="auto" w:fill="FFFFFF"/>
              </w:rPr>
            </w:pPr>
            <w:r>
              <w:rPr>
                <w:rFonts w:ascii="宋体" w:cs="宋体" w:hint="eastAsia"/>
                <w:bCs/>
                <w:color w:val="000000"/>
                <w:sz w:val="24"/>
              </w:rPr>
              <w:t>液压泵、马达生产</w:t>
            </w:r>
          </w:p>
        </w:tc>
        <w:tc>
          <w:tcPr>
            <w:tcW w:w="1527" w:type="dxa"/>
            <w:tcBorders>
              <w:top w:val="single" w:sz="18" w:space="0" w:color="FFFFFF"/>
              <w:left w:val="single" w:sz="8" w:space="0" w:color="4BACC6"/>
              <w:bottom w:val="single" w:sz="8" w:space="0" w:color="4BACC6"/>
              <w:right w:val="single" w:sz="8" w:space="0" w:color="4BACC6"/>
            </w:tcBorders>
            <w:shd w:val="clear" w:color="auto" w:fill="B7DDE8"/>
            <w:noWrap/>
            <w:vAlign w:val="center"/>
          </w:tcPr>
          <w:p>
            <w:pPr>
              <w:widowControl/>
              <w:spacing w:line="300" w:lineRule="exact"/>
              <w:textAlignment w:val="center"/>
              <w:rPr>
                <w:rFonts w:ascii="宋体" w:cs="宋体"/>
                <w:color w:val="000000"/>
                <w:sz w:val="24"/>
                <w:shd w:val="clear" w:color="auto" w:fill="FFFFFF"/>
              </w:rPr>
            </w:pPr>
            <w:r>
              <w:rPr>
                <w:rFonts w:ascii="宋体" w:cs="宋体" w:hint="eastAsia"/>
                <w:color w:val="000000"/>
                <w:kern w:val="0"/>
                <w:sz w:val="24"/>
              </w:rPr>
              <w:t>26.1万元</w:t>
            </w:r>
          </w:p>
        </w:tc>
      </w:tr>
      <w:tr>
        <w:tc>
          <w:tcPr>
            <w:tcW w:w="1604" w:type="dxa"/>
            <w:vMerge/>
            <w:tcBorders>
              <w:top w:val="single" w:sz="8" w:space="0" w:color="4BACC6"/>
              <w:left w:val="single" w:sz="8" w:space="0" w:color="4BACC6"/>
              <w:bottom w:val="single" w:sz="8" w:space="0" w:color="4BACC6"/>
              <w:right w:val="single" w:sz="8" w:space="0" w:color="4BACC6"/>
            </w:tcBorders>
            <w:shd w:val="clear" w:color="auto" w:fill="FFFFFF"/>
            <w:noWrap/>
            <w:vAlign w:val="center"/>
          </w:tcPr>
          <w:p/>
        </w:tc>
        <w:tc>
          <w:tcPr>
            <w:tcW w:w="3081"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spacing w:line="300" w:lineRule="exact"/>
              <w:textAlignment w:val="center"/>
              <w:rPr>
                <w:rFonts w:ascii="宋体" w:cs="宋体"/>
                <w:bCs/>
                <w:color w:val="000000"/>
                <w:sz w:val="24"/>
              </w:rPr>
            </w:pPr>
            <w:r>
              <w:rPr>
                <w:rFonts w:ascii="宋体" w:cs="宋体" w:hint="eastAsia"/>
                <w:bCs/>
                <w:color w:val="000000"/>
                <w:sz w:val="24"/>
              </w:rPr>
              <w:t>淮安市金恒泰电子科技有限公司</w:t>
            </w:r>
          </w:p>
        </w:tc>
        <w:tc>
          <w:tcPr>
            <w:tcW w:w="2348"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spacing w:line="300" w:lineRule="exact"/>
              <w:textAlignment w:val="center"/>
              <w:rPr>
                <w:rFonts w:ascii="宋体" w:cs="宋体"/>
                <w:bCs/>
                <w:color w:val="000000"/>
                <w:sz w:val="24"/>
              </w:rPr>
            </w:pPr>
            <w:r>
              <w:rPr>
                <w:rFonts w:ascii="宋体" w:cs="宋体" w:hint="eastAsia"/>
                <w:bCs/>
                <w:color w:val="000000"/>
                <w:sz w:val="24"/>
              </w:rPr>
              <w:t>仪器检测服务</w:t>
            </w:r>
          </w:p>
        </w:tc>
        <w:tc>
          <w:tcPr>
            <w:tcW w:w="1527"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spacing w:line="300" w:lineRule="exact"/>
              <w:textAlignment w:val="center"/>
              <w:rPr>
                <w:rFonts w:ascii="宋体" w:cs="宋体"/>
                <w:bCs/>
                <w:color w:val="000000"/>
                <w:sz w:val="24"/>
              </w:rPr>
            </w:pPr>
            <w:r>
              <w:rPr>
                <w:rFonts w:ascii="宋体" w:cs="宋体" w:hint="eastAsia"/>
                <w:bCs/>
                <w:color w:val="000000"/>
                <w:sz w:val="24"/>
              </w:rPr>
              <w:t>3.2万元</w:t>
            </w:r>
          </w:p>
        </w:tc>
      </w:tr>
      <w:tr>
        <w:tc>
          <w:tcPr>
            <w:tcW w:w="1604"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pStyle w:val="23"/>
              <w:spacing w:beforeAutospacing="0" w:afterAutospacing="0" w:line="300" w:lineRule="exact"/>
              <w:jc w:val="both"/>
              <w:rPr>
                <w:rFonts w:ascii="宋体" w:cs="宋体"/>
                <w:color w:val="000000"/>
                <w:shd w:val="clear" w:color="auto" w:fill="FFFFFF"/>
              </w:rPr>
            </w:pPr>
            <w:r>
              <w:rPr>
                <w:rFonts w:ascii="宋体" w:cs="宋体" w:hint="eastAsia"/>
                <w:color w:val="000000"/>
                <w:shd w:val="clear" w:color="auto" w:fill="FFFFFF"/>
              </w:rPr>
              <w:t>金湖中专</w:t>
            </w:r>
          </w:p>
        </w:tc>
        <w:tc>
          <w:tcPr>
            <w:tcW w:w="3081"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spacing w:line="300" w:lineRule="exact"/>
              <w:textAlignment w:val="center"/>
              <w:rPr>
                <w:rFonts w:ascii="宋体" w:cs="宋体"/>
                <w:color w:val="000000"/>
                <w:kern w:val="0"/>
                <w:sz w:val="24"/>
              </w:rPr>
            </w:pPr>
            <w:r>
              <w:rPr>
                <w:rFonts w:ascii="宋体" w:cs="宋体" w:hint="eastAsia"/>
                <w:color w:val="000000"/>
                <w:kern w:val="0"/>
                <w:sz w:val="24"/>
              </w:rPr>
              <w:t>金中机械有限公司</w:t>
            </w:r>
          </w:p>
        </w:tc>
        <w:tc>
          <w:tcPr>
            <w:tcW w:w="2348"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spacing w:line="300" w:lineRule="exact"/>
              <w:textAlignment w:val="center"/>
              <w:rPr>
                <w:rFonts w:ascii="宋体" w:cs="宋体"/>
                <w:color w:val="000000"/>
                <w:kern w:val="0"/>
                <w:sz w:val="24"/>
              </w:rPr>
            </w:pPr>
            <w:r>
              <w:rPr>
                <w:rFonts w:ascii="宋体" w:cs="宋体" w:hint="eastAsia"/>
                <w:color w:val="000000"/>
                <w:kern w:val="0"/>
                <w:sz w:val="24"/>
              </w:rPr>
              <w:t>DU68八工位组合机床液压系统维修及改进</w:t>
            </w:r>
          </w:p>
        </w:tc>
        <w:tc>
          <w:tcPr>
            <w:tcW w:w="1527"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spacing w:line="300" w:lineRule="exact"/>
              <w:textAlignment w:val="center"/>
              <w:rPr>
                <w:rFonts w:ascii="宋体" w:cs="宋体"/>
                <w:color w:val="000000"/>
                <w:kern w:val="0"/>
                <w:sz w:val="24"/>
              </w:rPr>
            </w:pPr>
            <w:r>
              <w:rPr>
                <w:rFonts w:ascii="宋体" w:cs="宋体" w:hint="eastAsia"/>
                <w:color w:val="000000"/>
                <w:kern w:val="0"/>
                <w:sz w:val="24"/>
              </w:rPr>
              <w:t>30万元</w:t>
            </w:r>
          </w:p>
        </w:tc>
      </w:tr>
      <w:tr>
        <w:tc>
          <w:tcPr>
            <w:tcW w:w="1604" w:type="dxa"/>
            <w:vMerge w:val="restart"/>
            <w:tcBorders>
              <w:top w:val="single" w:sz="8" w:space="0" w:color="4BACC6"/>
              <w:left w:val="single" w:sz="8" w:space="0" w:color="4BACC6"/>
              <w:bottom w:val="single" w:sz="8" w:space="0" w:color="4BACC6"/>
              <w:right w:val="single" w:sz="8" w:space="0" w:color="4BACC6"/>
            </w:tcBorders>
            <w:shd w:val="clear" w:color="auto" w:fill="FFFFFF"/>
            <w:noWrap/>
            <w:vAlign w:val="center"/>
          </w:tcPr>
          <w:p>
            <w:pPr>
              <w:pStyle w:val="23"/>
              <w:spacing w:beforeAutospacing="0" w:afterAutospacing="0" w:line="300" w:lineRule="exact"/>
              <w:jc w:val="both"/>
              <w:rPr>
                <w:rFonts w:ascii="宋体" w:cs="宋体"/>
                <w:color w:val="000000"/>
                <w:shd w:val="clear" w:color="auto" w:fill="FFFFFF"/>
              </w:rPr>
            </w:pPr>
            <w:r>
              <w:rPr>
                <w:rFonts w:ascii="宋体" w:cs="宋体" w:hint="eastAsia"/>
                <w:color w:val="000000"/>
                <w:shd w:val="clear" w:color="auto" w:fill="FFFFFF"/>
              </w:rPr>
              <w:t>盱眙中专</w:t>
            </w:r>
          </w:p>
        </w:tc>
        <w:tc>
          <w:tcPr>
            <w:tcW w:w="3081"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spacing w:line="300" w:lineRule="exact"/>
              <w:textAlignment w:val="center"/>
              <w:rPr>
                <w:rFonts w:ascii="宋体" w:cs="宋体"/>
                <w:color w:val="000000"/>
                <w:kern w:val="0"/>
                <w:sz w:val="24"/>
              </w:rPr>
            </w:pPr>
            <w:r>
              <w:rPr>
                <w:rFonts w:ascii="宋体" w:cs="宋体" w:hint="eastAsia"/>
                <w:color w:val="000000"/>
                <w:kern w:val="0"/>
                <w:sz w:val="24"/>
              </w:rPr>
              <w:t>江苏新正奇机电科技有限公司</w:t>
            </w:r>
          </w:p>
        </w:tc>
        <w:tc>
          <w:tcPr>
            <w:tcW w:w="2348"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spacing w:line="300" w:lineRule="exact"/>
              <w:textAlignment w:val="center"/>
              <w:rPr>
                <w:rFonts w:ascii="宋体" w:cs="宋体"/>
                <w:color w:val="000000"/>
                <w:kern w:val="0"/>
                <w:sz w:val="24"/>
              </w:rPr>
            </w:pPr>
            <w:r>
              <w:rPr>
                <w:rFonts w:ascii="宋体" w:cs="宋体" w:hint="eastAsia"/>
                <w:color w:val="000000"/>
                <w:sz w:val="24"/>
              </w:rPr>
              <w:t>高铁制动器支架（A380）项目</w:t>
            </w:r>
          </w:p>
        </w:tc>
        <w:tc>
          <w:tcPr>
            <w:tcW w:w="1527"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spacing w:line="300" w:lineRule="exact"/>
              <w:textAlignment w:val="center"/>
              <w:rPr>
                <w:rFonts w:ascii="宋体" w:cs="宋体"/>
                <w:color w:val="000000"/>
                <w:kern w:val="0"/>
                <w:sz w:val="24"/>
              </w:rPr>
            </w:pPr>
            <w:r>
              <w:rPr>
                <w:rFonts w:ascii="宋体" w:cs="宋体" w:hint="eastAsia"/>
                <w:color w:val="000000"/>
                <w:kern w:val="0"/>
                <w:sz w:val="24"/>
              </w:rPr>
              <w:t>12万元</w:t>
            </w:r>
          </w:p>
        </w:tc>
      </w:tr>
      <w:tr>
        <w:tc>
          <w:tcPr>
            <w:tcW w:w="1604" w:type="dxa"/>
            <w:vMerge/>
            <w:tcBorders>
              <w:top w:val="single" w:sz="8" w:space="0" w:color="4BACC6"/>
              <w:left w:val="single" w:sz="8" w:space="0" w:color="4BACC6"/>
              <w:bottom w:val="single" w:sz="8" w:space="0" w:color="4BACC6"/>
              <w:right w:val="single" w:sz="8" w:space="0" w:color="4BACC6"/>
            </w:tcBorders>
            <w:shd w:val="clear" w:color="auto" w:fill="B7DDE8"/>
            <w:noWrap/>
            <w:vAlign w:val="center"/>
          </w:tcPr>
          <w:p/>
        </w:tc>
        <w:tc>
          <w:tcPr>
            <w:tcW w:w="3081"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spacing w:line="300" w:lineRule="exact"/>
              <w:textAlignment w:val="center"/>
              <w:rPr>
                <w:rFonts w:ascii="宋体" w:cs="宋体"/>
                <w:color w:val="000000"/>
                <w:kern w:val="0"/>
                <w:sz w:val="24"/>
              </w:rPr>
            </w:pPr>
            <w:r>
              <w:rPr>
                <w:rFonts w:ascii="宋体" w:cs="宋体" w:hint="eastAsia"/>
                <w:color w:val="000000"/>
                <w:sz w:val="24"/>
              </w:rPr>
              <w:t>县民政局</w:t>
            </w:r>
          </w:p>
        </w:tc>
        <w:tc>
          <w:tcPr>
            <w:tcW w:w="2348"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spacing w:line="300" w:lineRule="exact"/>
              <w:textAlignment w:val="center"/>
              <w:rPr>
                <w:rFonts w:ascii="宋体" w:cs="宋体"/>
                <w:color w:val="000000"/>
                <w:kern w:val="0"/>
                <w:sz w:val="24"/>
              </w:rPr>
            </w:pPr>
            <w:r>
              <w:rPr>
                <w:rFonts w:ascii="宋体" w:cs="宋体" w:hint="eastAsia"/>
                <w:color w:val="000000"/>
                <w:sz w:val="24"/>
              </w:rPr>
              <w:t>养老护理员培训</w:t>
            </w:r>
          </w:p>
        </w:tc>
        <w:tc>
          <w:tcPr>
            <w:tcW w:w="1527"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spacing w:line="300" w:lineRule="exact"/>
              <w:textAlignment w:val="center"/>
              <w:rPr>
                <w:rFonts w:ascii="宋体" w:cs="宋体"/>
                <w:color w:val="000000"/>
                <w:kern w:val="0"/>
                <w:sz w:val="24"/>
              </w:rPr>
            </w:pPr>
            <w:r>
              <w:rPr>
                <w:rFonts w:ascii="宋体" w:cs="宋体" w:hint="eastAsia"/>
                <w:color w:val="000000"/>
                <w:sz w:val="24"/>
              </w:rPr>
              <w:t>14.72万元</w:t>
            </w:r>
          </w:p>
        </w:tc>
      </w:tr>
      <w:tr>
        <w:tc>
          <w:tcPr>
            <w:tcW w:w="1604" w:type="dxa"/>
            <w:vMerge/>
            <w:tcBorders>
              <w:top w:val="single" w:sz="8" w:space="0" w:color="4BACC6"/>
              <w:left w:val="single" w:sz="8" w:space="0" w:color="4BACC6"/>
              <w:bottom w:val="single" w:sz="8" w:space="0" w:color="4BACC6"/>
              <w:right w:val="single" w:sz="8" w:space="0" w:color="4BACC6"/>
            </w:tcBorders>
            <w:shd w:val="clear" w:color="auto" w:fill="FFFFFF"/>
            <w:noWrap/>
            <w:vAlign w:val="center"/>
          </w:tcPr>
          <w:p/>
        </w:tc>
        <w:tc>
          <w:tcPr>
            <w:tcW w:w="3081"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spacing w:line="300" w:lineRule="exact"/>
              <w:textAlignment w:val="center"/>
              <w:rPr>
                <w:rFonts w:ascii="宋体" w:cs="宋体"/>
                <w:color w:val="000000"/>
                <w:sz w:val="24"/>
              </w:rPr>
            </w:pPr>
            <w:r>
              <w:rPr>
                <w:rFonts w:ascii="宋体" w:cs="宋体" w:hint="eastAsia"/>
                <w:color w:val="000000"/>
                <w:sz w:val="24"/>
              </w:rPr>
              <w:t>金玉祥有限公司</w:t>
            </w:r>
          </w:p>
        </w:tc>
        <w:tc>
          <w:tcPr>
            <w:tcW w:w="2348"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spacing w:line="300" w:lineRule="exact"/>
              <w:textAlignment w:val="center"/>
              <w:rPr>
                <w:rFonts w:ascii="宋体" w:cs="宋体"/>
                <w:color w:val="000000"/>
                <w:sz w:val="24"/>
              </w:rPr>
            </w:pPr>
            <w:r>
              <w:rPr>
                <w:rFonts w:ascii="宋体" w:cs="宋体" w:hint="eastAsia"/>
                <w:color w:val="000000"/>
                <w:sz w:val="24"/>
              </w:rPr>
              <w:t>新型学徒制</w:t>
            </w:r>
          </w:p>
        </w:tc>
        <w:tc>
          <w:tcPr>
            <w:tcW w:w="1527" w:type="dxa"/>
            <w:tcBorders>
              <w:top w:val="single" w:sz="8" w:space="0" w:color="4BACC6"/>
              <w:left w:val="single" w:sz="8" w:space="0" w:color="4BACC6"/>
              <w:bottom w:val="single" w:sz="8" w:space="0" w:color="4BACC6"/>
              <w:right w:val="single" w:sz="8" w:space="0" w:color="4BACC6"/>
            </w:tcBorders>
            <w:shd w:val="clear" w:color="auto" w:fill="FFFFFF"/>
            <w:noWrap/>
            <w:vAlign w:val="center"/>
          </w:tcPr>
          <w:p>
            <w:pPr>
              <w:widowControl/>
              <w:spacing w:line="300" w:lineRule="exact"/>
              <w:textAlignment w:val="center"/>
              <w:rPr>
                <w:rFonts w:ascii="宋体" w:cs="宋体"/>
                <w:color w:val="000000"/>
                <w:sz w:val="24"/>
              </w:rPr>
            </w:pPr>
            <w:r>
              <w:rPr>
                <w:rFonts w:ascii="宋体" w:cs="宋体" w:hint="eastAsia"/>
                <w:color w:val="000000"/>
                <w:sz w:val="24"/>
              </w:rPr>
              <w:t>7.63万元</w:t>
            </w:r>
          </w:p>
        </w:tc>
      </w:tr>
      <w:tr>
        <w:tc>
          <w:tcPr>
            <w:tcW w:w="1604" w:type="dxa"/>
            <w:vMerge/>
            <w:tcBorders>
              <w:top w:val="single" w:sz="8" w:space="0" w:color="4BACC6"/>
              <w:left w:val="single" w:sz="8" w:space="0" w:color="4BACC6"/>
              <w:bottom w:val="single" w:sz="8" w:space="0" w:color="4BACC6"/>
              <w:right w:val="single" w:sz="8" w:space="0" w:color="4BACC6"/>
            </w:tcBorders>
            <w:shd w:val="clear" w:color="auto" w:fill="B7DDE8"/>
            <w:noWrap/>
            <w:vAlign w:val="center"/>
          </w:tcPr>
          <w:p/>
        </w:tc>
        <w:tc>
          <w:tcPr>
            <w:tcW w:w="3081"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spacing w:line="300" w:lineRule="exact"/>
              <w:textAlignment w:val="center"/>
              <w:rPr>
                <w:rFonts w:ascii="宋体" w:cs="宋体"/>
                <w:color w:val="000000"/>
                <w:sz w:val="24"/>
              </w:rPr>
            </w:pPr>
            <w:r>
              <w:rPr>
                <w:rFonts w:ascii="宋体" w:cs="宋体" w:hint="eastAsia"/>
                <w:color w:val="000000"/>
                <w:sz w:val="24"/>
              </w:rPr>
              <w:t>退役军人管理局</w:t>
            </w:r>
          </w:p>
        </w:tc>
        <w:tc>
          <w:tcPr>
            <w:tcW w:w="2348"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spacing w:line="300" w:lineRule="exact"/>
              <w:textAlignment w:val="center"/>
              <w:rPr>
                <w:rFonts w:ascii="宋体" w:cs="宋体"/>
                <w:color w:val="000000"/>
                <w:sz w:val="24"/>
              </w:rPr>
            </w:pPr>
            <w:r>
              <w:rPr>
                <w:rFonts w:ascii="宋体" w:cs="宋体" w:hint="eastAsia"/>
                <w:color w:val="000000"/>
                <w:sz w:val="24"/>
              </w:rPr>
              <w:t>退役士兵培训</w:t>
            </w:r>
          </w:p>
        </w:tc>
        <w:tc>
          <w:tcPr>
            <w:tcW w:w="1527" w:type="dxa"/>
            <w:tcBorders>
              <w:top w:val="single" w:sz="8" w:space="0" w:color="4BACC6"/>
              <w:left w:val="single" w:sz="8" w:space="0" w:color="4BACC6"/>
              <w:bottom w:val="single" w:sz="8" w:space="0" w:color="4BACC6"/>
              <w:right w:val="single" w:sz="8" w:space="0" w:color="4BACC6"/>
            </w:tcBorders>
            <w:shd w:val="clear" w:color="auto" w:fill="B7DDE8"/>
            <w:noWrap/>
            <w:vAlign w:val="center"/>
          </w:tcPr>
          <w:p>
            <w:pPr>
              <w:widowControl/>
              <w:spacing w:line="300" w:lineRule="exact"/>
              <w:textAlignment w:val="center"/>
              <w:rPr>
                <w:rFonts w:ascii="宋体" w:cs="宋体"/>
                <w:color w:val="000000"/>
                <w:sz w:val="24"/>
              </w:rPr>
            </w:pPr>
            <w:r>
              <w:rPr>
                <w:rFonts w:ascii="宋体" w:cs="宋体" w:hint="eastAsia"/>
                <w:color w:val="000000"/>
                <w:sz w:val="24"/>
              </w:rPr>
              <w:t>28.32万元</w:t>
            </w:r>
          </w:p>
        </w:tc>
      </w:tr>
    </w:tbl>
    <w:p>
      <w:pPr>
        <w:snapToGrid w:val="0"/>
        <w:spacing w:line="560" w:lineRule="atLeast"/>
        <w:ind w:firstLineChars="200" w:firstLine="560"/>
        <w:jc w:val="center"/>
        <w:rPr>
          <w:rFonts w:ascii="黑体" w:eastAsia="黑体"/>
          <w:sz w:val="28"/>
          <w:szCs w:val="28"/>
        </w:rPr>
      </w:pPr>
      <w:bookmarkEnd w:id="110"/>
      <w:r>
        <w:rPr>
          <w:rFonts w:ascii="黑体" w:eastAsia="黑体" w:hint="eastAsia"/>
          <w:sz w:val="28"/>
          <w:szCs w:val="28"/>
        </w:rPr>
        <w:t>典型案例</w:t>
      </w:r>
      <w:r>
        <w:rPr>
          <w:rFonts w:ascii="黑体" w:eastAsia="黑体"/>
          <w:sz w:val="28"/>
          <w:szCs w:val="28"/>
        </w:rPr>
        <w:t>10</w:t>
      </w:r>
      <w:r>
        <w:rPr>
          <w:rFonts w:ascii="黑体" w:eastAsia="黑体" w:hint="eastAsia"/>
          <w:sz w:val="28"/>
          <w:szCs w:val="28"/>
        </w:rPr>
        <w:t>：</w:t>
      </w:r>
      <w:r>
        <w:rPr>
          <w:rFonts w:ascii="黑体" w:eastAsia="黑体"/>
          <w:sz w:val="28"/>
          <w:szCs w:val="28"/>
        </w:rPr>
        <w:t xml:space="preserve"> </w:t>
      </w:r>
      <w:r>
        <w:rPr>
          <w:rFonts w:ascii="黑体" w:eastAsia="黑体" w:hint="eastAsia"/>
          <w:sz w:val="28"/>
          <w:szCs w:val="28"/>
        </w:rPr>
        <w:t>盱眙中专开展龙虾全产业链创业就业培训服务</w:t>
      </w:r>
    </w:p>
    <w:p>
      <w:pPr>
        <w:spacing w:line="500" w:lineRule="exact"/>
        <w:ind w:firstLineChars="200" w:firstLine="560"/>
        <w:rPr>
          <w:rFonts w:ascii="方正楷体_GBK" w:eastAsia="方正楷体_GBK" w:hint="eastAsia"/>
          <w:kern w:val="0"/>
          <w:sz w:val="28"/>
          <w:szCs w:val="28"/>
        </w:rPr>
      </w:pPr>
      <w:r>
        <w:rPr>
          <w:rFonts w:ascii="方正楷体_GBK" w:eastAsia="方正楷体_GBK" w:hint="eastAsia"/>
          <w:kern w:val="0"/>
          <w:sz w:val="28"/>
          <w:szCs w:val="28"/>
        </w:rPr>
        <w:t>盱眙中等专业学校结合地方特色产业，联合市乡村振兴学院、农业广播电视学校、退役军人事务管理局，免费为本地农民、农村干部及退役军人提供龙虾养殖、龙虾烧制、店铺运营、电子商务等龙虾全产业链创业就业培训服务，年培训学员约1000人次。</w:t>
      </w:r>
    </w:p>
    <w:p>
      <w:pPr>
        <w:spacing w:line="500" w:lineRule="exact"/>
        <w:ind w:firstLineChars="200" w:firstLine="560"/>
        <w:rPr>
          <w:rFonts w:ascii="方正楷体_GBK" w:eastAsia="方正楷体_GBK" w:cs="仿宋" w:hint="eastAsia"/>
          <w:sz w:val="32"/>
          <w:szCs w:val="32"/>
        </w:rPr>
      </w:pPr>
      <w:r>
        <w:rPr>
          <w:rFonts w:ascii="方正楷体_GBK" w:eastAsia="方正楷体_GBK" w:hint="eastAsia"/>
          <w:kern w:val="0"/>
          <w:sz w:val="28"/>
          <w:szCs w:val="28"/>
        </w:rPr>
        <w:t>2021年，盱眙龙虾品牌价值215.51亿元，龙虾产业已经成为盱眙的特色产业、支柱产业以及百姓的创富产业，学校充分挖掘盱眙龙虾在烹饪、养殖、开店等方向的经济价值，面向新型职业农民、退役军人以及社会低收入群体开展公益性培训，并为学员提供跟踪孵化服务。</w:t>
      </w:r>
    </w:p>
    <w:p>
      <w:pPr>
        <w:spacing w:line="500" w:lineRule="exact"/>
        <w:ind w:firstLineChars="200" w:firstLine="560"/>
        <w:rPr>
          <w:rFonts w:ascii="方正楷体_GBK" w:eastAsia="方正楷体_GBK" w:hint="eastAsia"/>
          <w:kern w:val="0"/>
          <w:sz w:val="28"/>
          <w:szCs w:val="28"/>
        </w:rPr>
      </w:pPr>
      <w:r>
        <w:rPr>
          <w:rFonts w:ascii="方正楷体_GBK" w:eastAsia="方正楷体_GBK" w:hint="eastAsia"/>
          <w:kern w:val="0"/>
          <w:sz w:val="28"/>
          <w:szCs w:val="28"/>
        </w:rPr>
        <w:t>学校通过与中国烹饪协会联办龙虾烹饪大赛，为受训学员提供交流平台及品牌背书。提出“农村场景+农民人设”的农业电商概念，重点发展短视频直播电商，研发在农村因地制宜低风险创业课程，开展“村花”“村草”的个人IP培训及孵化。2021年送课下乡7次，在明祖陵国家级现代农业园区建设“田头直播间”，在学校建成直播室19间，农产品展销中心的建设正在招标中。通过培训发展三农个人IP，通过三农IP提高盱眙农产品的网络曝光及销售。</w:t>
      </w:r>
    </w:p>
    <w:p>
      <w:pPr>
        <w:jc w:val="center"/>
        <w:rPr>
          <w:rFonts w:ascii="Times New Roman" w:eastAsia="仿宋_GB2312" w:cs="仿宋_GB2312" w:hAnsi="Times New Roman"/>
          <w:sz w:val="24"/>
        </w:rPr>
      </w:pPr>
    </w:p>
    <w:p>
      <w:pPr>
        <w:jc w:val="center"/>
        <w:rPr>
          <w:rFonts w:ascii="Times New Roman" w:eastAsia="仿宋_GB2312" w:cs="仿宋_GB2312" w:hAnsi="Times New Roman"/>
          <w:sz w:val="24"/>
        </w:rPr>
      </w:pPr>
    </w:p>
    <w:p>
      <w:pPr>
        <w:jc w:val="center"/>
        <w:rPr>
          <w:rFonts w:ascii="Times New Roman" w:eastAsia="仿宋_GB2312" w:cs="仿宋_GB2312" w:hAnsi="Times New Roman"/>
          <w:sz w:val="24"/>
        </w:rPr>
      </w:pPr>
      <w:r>
        <w:rPr>
          <w:rFonts w:ascii="Times New Roman" w:eastAsia="仿宋_GB2312" w:cs="仿宋_GB2312" w:hAnsi="Times New Roman"/>
          <w:sz w:val="24"/>
        </w:rPr>
        <w:drawing>
          <wp:anchor distT="0" distB="0" distL="114300" distR="114300" simplePos="0" relativeHeight="107" behindDoc="0" locked="0" layoutInCell="1" hidden="0" allowOverlap="1">
            <wp:simplePos x="0" y="0"/>
            <wp:positionH relativeFrom="column">
              <wp:posOffset>2811832</wp:posOffset>
            </wp:positionH>
            <wp:positionV relativeFrom="paragraph">
              <wp:posOffset>-188592</wp:posOffset>
            </wp:positionV>
            <wp:extent cx="2228849" cy="1905000"/>
            <wp:effectExtent l="0" t="0" r="0" b="0"/>
            <wp:wrapTopAndBottom/>
            <wp:docPr id="52" name="图片 10" descr="WechatIMG255"/>
            <wp:cNvGraphicFramePr>
              <a:graphicFrameLocks noChangeAspect="1"/>
            </wp:cNvGraphicFramePr>
            <a:graphic>
              <a:graphicData uri="http://schemas.openxmlformats.org/drawingml/2006/picture">
                <pic:pic>
                  <pic:nvPicPr>
                    <pic:cNvPr id="54" name="图片 10 54"/>
                    <pic:cNvPicPr/>
                  </pic:nvPicPr>
                  <pic:blipFill>
                    <a:blip r:embed="rId36"/>
                    <a:stretch>
                      <a:fillRect/>
                    </a:stretch>
                  </pic:blipFill>
                  <pic:spPr>
                    <a:xfrm rot="0">
                      <a:off x="0" y="0"/>
                      <a:ext cx="2228849" cy="1905000"/>
                    </a:xfrm>
                    <a:prstGeom prst="rect"/>
                    <a:noFill/>
                    <a:ln w="9525" cmpd="sng" cap="flat">
                      <a:noFill/>
                      <a:prstDash val="solid"/>
                      <a:miter/>
                    </a:ln>
                  </pic:spPr>
                </pic:pic>
              </a:graphicData>
            </a:graphic>
          </wp:anchor>
        </w:drawing>
      </w:r>
      <w:r>
        <w:rPr>
          <w:rFonts w:ascii="Times New Roman" w:eastAsia="仿宋_GB2312" w:cs="仿宋_GB2312" w:hAnsi="Times New Roman"/>
          <w:sz w:val="24"/>
        </w:rPr>
        <w:drawing>
          <wp:anchor distT="0" distB="0" distL="114300" distR="114300" simplePos="0" relativeHeight="109" behindDoc="0" locked="0" layoutInCell="1" hidden="0" allowOverlap="1">
            <wp:simplePos x="0" y="0"/>
            <wp:positionH relativeFrom="column">
              <wp:posOffset>342989</wp:posOffset>
            </wp:positionH>
            <wp:positionV relativeFrom="paragraph">
              <wp:posOffset>-188592</wp:posOffset>
            </wp:positionV>
            <wp:extent cx="2444749" cy="1906270"/>
            <wp:effectExtent l="0" t="0" r="0" b="0"/>
            <wp:wrapTopAndBottom/>
            <wp:docPr id="55" name="图片 9" descr="WechatIMG908"/>
            <wp:cNvGraphicFramePr>
              <a:graphicFrameLocks noChangeAspect="1"/>
            </wp:cNvGraphicFramePr>
            <a:graphic>
              <a:graphicData uri="http://schemas.openxmlformats.org/drawingml/2006/picture">
                <pic:pic>
                  <pic:nvPicPr>
                    <pic:cNvPr id="57" name="图片 9 57"/>
                    <pic:cNvPicPr/>
                  </pic:nvPicPr>
                  <pic:blipFill>
                    <a:blip r:embed="rId37"/>
                    <a:stretch>
                      <a:fillRect/>
                    </a:stretch>
                  </pic:blipFill>
                  <pic:spPr>
                    <a:xfrm rot="0">
                      <a:off x="0" y="0"/>
                      <a:ext cx="2444749" cy="1906270"/>
                    </a:xfrm>
                    <a:prstGeom prst="rect"/>
                    <a:noFill/>
                    <a:ln w="9525" cmpd="sng" cap="flat">
                      <a:noFill/>
                      <a:prstDash val="solid"/>
                      <a:miter/>
                    </a:ln>
                  </pic:spPr>
                </pic:pic>
              </a:graphicData>
            </a:graphic>
          </wp:anchor>
        </w:drawing>
      </w:r>
      <w:r>
        <w:rPr>
          <w:rFonts w:ascii="Times New Roman" w:eastAsia="仿宋_GB2312" w:cs="仿宋_GB2312" w:hAnsi="Times New Roman" w:hint="eastAsia"/>
          <w:sz w:val="24"/>
        </w:rPr>
        <w:t>图5-</w:t>
      </w:r>
      <w:r>
        <w:rPr>
          <w:rFonts w:ascii="Times New Roman" w:eastAsia="仿宋_GB2312" w:cs="仿宋_GB2312" w:hAnsi="Times New Roman"/>
          <w:sz w:val="24"/>
        </w:rPr>
        <w:t>5</w:t>
      </w:r>
      <w:r>
        <w:rPr>
          <w:rFonts w:ascii="Times New Roman" w:eastAsia="仿宋_GB2312" w:cs="仿宋_GB2312" w:hAnsi="Times New Roman" w:hint="eastAsia"/>
          <w:sz w:val="24"/>
        </w:rPr>
        <w:t>：盱眙中专开展龙虾产业链培训服务</w:t>
      </w:r>
    </w:p>
    <w:p>
      <w:pPr>
        <w:snapToGrid w:val="0"/>
        <w:spacing w:line="560" w:lineRule="atLeast"/>
        <w:ind w:firstLineChars="200" w:firstLine="560"/>
        <w:jc w:val="center"/>
        <w:rPr>
          <w:rFonts w:ascii="黑体" w:eastAsia="黑体"/>
          <w:sz w:val="28"/>
          <w:szCs w:val="28"/>
        </w:rPr>
      </w:pPr>
      <w:r>
        <w:rPr>
          <w:rFonts w:ascii="黑体" w:eastAsia="黑体" w:hint="eastAsia"/>
          <w:sz w:val="28"/>
          <w:szCs w:val="28"/>
        </w:rPr>
        <w:t>典型案例</w:t>
      </w:r>
      <w:r>
        <w:rPr>
          <w:rFonts w:ascii="黑体" w:eastAsia="黑体"/>
          <w:sz w:val="28"/>
          <w:szCs w:val="28"/>
        </w:rPr>
        <w:t>11</w:t>
      </w:r>
      <w:r>
        <w:rPr>
          <w:rFonts w:ascii="黑体" w:eastAsia="黑体" w:hint="eastAsia"/>
          <w:sz w:val="28"/>
          <w:szCs w:val="28"/>
        </w:rPr>
        <w:t>：</w:t>
      </w:r>
      <w:r>
        <w:rPr>
          <w:rFonts w:ascii="黑体" w:eastAsia="黑体"/>
          <w:sz w:val="28"/>
          <w:szCs w:val="28"/>
        </w:rPr>
        <w:t xml:space="preserve"> 淮安生物工程学校</w:t>
      </w:r>
      <w:r>
        <w:rPr>
          <w:rFonts w:ascii="黑体" w:eastAsia="黑体" w:hint="eastAsia"/>
          <w:sz w:val="28"/>
          <w:szCs w:val="28"/>
        </w:rPr>
        <w:t>重抓服务，切实提高养殖效益</w:t>
      </w:r>
    </w:p>
    <w:p>
      <w:pPr>
        <w:spacing w:line="500" w:lineRule="exact"/>
        <w:ind w:firstLineChars="200" w:firstLine="560"/>
        <w:jc w:val="left"/>
        <w:rPr>
          <w:rFonts w:ascii="方正楷体_GBK" w:eastAsia="方正楷体_GBK" w:hint="eastAsia"/>
          <w:kern w:val="0"/>
          <w:sz w:val="28"/>
          <w:szCs w:val="28"/>
        </w:rPr>
      </w:pPr>
      <w:r>
        <w:rPr>
          <w:rFonts w:ascii="方正楷体_GBK" w:eastAsia="方正楷体_GBK" w:hint="eastAsia"/>
          <w:kern w:val="0"/>
          <w:sz w:val="28"/>
          <w:szCs w:val="28"/>
        </w:rPr>
        <w:t>淮安生物工程高等职业学校十分重视《江苏现代农业产业技术体系建设项目》，专门成立了以杜光波教授为首技术专家小组，强化组织领导，做好项目实施工作，把项目的实施作为学校服务“三农”、实施乡村振兴战略的重点工作来抓。项目在淮安市洪泽区、淮安区和淮阴区建成1个核心示范基地，5个科技推广示范点，13个示范户(包括5个新型经营主体)，辐射带动养羊大户20余户，推广肉羊养殖规模14815只，开展技术培训与交流8场422人次，通过良种选育、异地采购良种等方式，帮助示范基地、示范点及示范户，建立优良繁育群，使得他们良种繁育群规模比去年增加10%，繁殖群母羊的产羔数同比提高10%，示范基地羊场每头选育的繁殖母羊年增加销售收入200元。</w:t>
      </w:r>
    </w:p>
    <w:p>
      <w:pPr>
        <w:pStyle w:val="23"/>
        <w:spacing w:beforeAutospacing="0" w:afterAutospacing="0" w:line="560" w:lineRule="exact"/>
        <w:ind w:firstLineChars="200" w:firstLine="480"/>
        <w:outlineLvl w:val="1"/>
        <w:rPr>
          <w:rFonts w:ascii="黑体" w:eastAsia="黑体" w:cs="黑体"/>
          <w:kern w:val="2"/>
        </w:rPr>
      </w:pPr>
      <w:bookmarkStart w:id="111" w:name="_Toc84605505"/>
      <w:bookmarkStart w:id="112" w:name="_Toc59566749"/>
      <w:bookmarkStart w:id="113" w:name="_Toc84605546"/>
      <w:r>
        <w:rPr>
          <w:rFonts w:ascii="方正楷体_GBK" w:eastAsia="方正楷体_GBK" w:cs="楷体_GB2312" w:hint="eastAsia"/>
          <w:bCs/>
          <w:sz w:val="24"/>
        </w:rPr>
        <w:drawing>
          <wp:anchor distT="0" distB="0" distL="114300" distR="114300" simplePos="0" relativeHeight="111" behindDoc="0" locked="0" layoutInCell="1" hidden="0" allowOverlap="1">
            <wp:simplePos x="0" y="0"/>
            <wp:positionH relativeFrom="column">
              <wp:posOffset>1048399</wp:posOffset>
            </wp:positionH>
            <wp:positionV relativeFrom="paragraph">
              <wp:posOffset>4381</wp:posOffset>
            </wp:positionV>
            <wp:extent cx="3314700" cy="2138045"/>
            <wp:effectExtent l="0" t="0" r="0" b="0"/>
            <wp:wrapTopAndBottom/>
            <wp:docPr id="58" name="图片 38"/>
            <wp:cNvGraphicFramePr>
              <a:graphicFrameLocks noChangeAspect="1"/>
            </wp:cNvGraphicFramePr>
            <a:graphic>
              <a:graphicData uri="http://schemas.openxmlformats.org/drawingml/2006/picture">
                <pic:pic>
                  <pic:nvPicPr>
                    <pic:cNvPr id="60" name="图片 38 60"/>
                    <pic:cNvPicPr/>
                  </pic:nvPicPr>
                  <pic:blipFill>
                    <a:blip r:embed="rId38"/>
                    <a:stretch>
                      <a:fillRect/>
                    </a:stretch>
                  </pic:blipFill>
                  <pic:spPr>
                    <a:xfrm rot="0">
                      <a:off x="0" y="0"/>
                      <a:ext cx="3314700" cy="2138045"/>
                    </a:xfrm>
                    <a:prstGeom prst="roundRect">
                      <a:avLst>
                        <a:gd name="adj" fmla="val 16666"/>
                      </a:avLst>
                    </a:prstGeom>
                    <a:noFill/>
                    <a:ln w="9525" cmpd="sng" cap="flat">
                      <a:noFill/>
                      <a:prstDash val="solid"/>
                      <a:miter/>
                    </a:ln>
                  </pic:spPr>
                </pic:pic>
              </a:graphicData>
            </a:graphic>
          </wp:anchor>
        </w:drawing>
      </w:r>
      <w:r>
        <w:rPr>
          <w:rFonts w:ascii="仿宋_GB2312" w:eastAsia="仿宋_GB2312" w:cs="仿宋_GB2312" w:hint="eastAsia"/>
          <w:sz w:val="32"/>
          <w:szCs w:val="32"/>
          <w:shd w:val="clear" w:color="auto" w:fill="FFFFFF"/>
        </w:rPr>
        <w:t xml:space="preserve"> </w:t>
      </w:r>
      <w:r>
        <w:rPr>
          <w:rFonts w:ascii="仿宋_GB2312" w:eastAsia="仿宋_GB2312" w:cs="仿宋_GB2312"/>
          <w:sz w:val="32"/>
          <w:szCs w:val="32"/>
          <w:shd w:val="clear" w:color="auto" w:fill="FFFFFF"/>
        </w:rPr>
        <w:t xml:space="preserve">       </w:t>
      </w:r>
      <w:r>
        <w:rPr>
          <w:rFonts w:ascii="Times New Roman" w:eastAsia="仿宋_GB2312" w:cs="仿宋_GB2312" w:hAnsi="Times New Roman" w:hint="eastAsia"/>
          <w:kern w:val="2"/>
        </w:rPr>
        <w:t>图5-</w:t>
      </w:r>
      <w:r>
        <w:rPr>
          <w:rFonts w:ascii="Times New Roman" w:eastAsia="仿宋_GB2312" w:cs="仿宋_GB2312" w:hAnsi="Times New Roman"/>
          <w:kern w:val="2"/>
        </w:rPr>
        <w:t>6</w:t>
      </w:r>
      <w:r>
        <w:rPr>
          <w:rFonts w:ascii="Times New Roman" w:eastAsia="仿宋_GB2312" w:cs="仿宋_GB2312" w:hAnsi="Times New Roman" w:hint="eastAsia"/>
          <w:kern w:val="2"/>
        </w:rPr>
        <w:t>：</w:t>
      </w:r>
      <w:r>
        <w:rPr>
          <w:rFonts w:ascii="Times New Roman" w:eastAsia="仿宋_GB2312" w:cs="仿宋_GB2312" w:hAnsi="Times New Roman"/>
          <w:kern w:val="2"/>
        </w:rPr>
        <w:t>淮安生物工程学校</w:t>
      </w:r>
      <w:r>
        <w:rPr>
          <w:rFonts w:ascii="Times New Roman" w:eastAsia="仿宋_GB2312" w:cs="仿宋_GB2312" w:hAnsi="Times New Roman" w:hint="eastAsia"/>
          <w:kern w:val="2"/>
        </w:rPr>
        <w:t>专业教师开展技术服务</w:t>
      </w:r>
      <w:bookmarkEnd w:id="111"/>
      <w:bookmarkEnd w:id="112"/>
      <w:bookmarkEnd w:id="113"/>
    </w:p>
    <w:p>
      <w:pPr>
        <w:pStyle w:val="23"/>
        <w:spacing w:beforeAutospacing="0" w:afterAutospacing="0" w:line="560" w:lineRule="exact"/>
        <w:ind w:firstLineChars="200" w:firstLine="640"/>
        <w:outlineLvl w:val="1"/>
        <w:rPr>
          <w:rFonts w:ascii="仿宋_GB2312" w:eastAsia="仿宋_GB2312" w:cs="仿宋_GB2312"/>
          <w:b/>
          <w:bCs/>
          <w:sz w:val="32"/>
          <w:szCs w:val="32"/>
          <w:shd w:val="clear" w:color="auto" w:fill="FFFFFF"/>
        </w:rPr>
      </w:pPr>
      <w:bookmarkStart w:id="114" w:name="_Toc84605547"/>
      <w:r>
        <w:rPr>
          <w:rFonts w:ascii="仿宋_GB2312" w:eastAsia="仿宋_GB2312" w:cs="仿宋_GB2312"/>
          <w:b/>
          <w:bCs/>
          <w:sz w:val="32"/>
          <w:szCs w:val="32"/>
          <w:shd w:val="clear" w:color="auto" w:fill="FFFFFF"/>
        </w:rPr>
        <w:t>5</w:t>
      </w:r>
      <w:r>
        <w:rPr>
          <w:rFonts w:ascii="仿宋_GB2312" w:eastAsia="仿宋_GB2312" w:cs="仿宋_GB2312" w:hint="eastAsia"/>
          <w:b/>
          <w:bCs/>
          <w:sz w:val="32"/>
          <w:szCs w:val="32"/>
          <w:shd w:val="clear" w:color="auto" w:fill="FFFFFF"/>
        </w:rPr>
        <w:t>.3对口支援</w:t>
      </w:r>
      <w:bookmarkEnd w:id="108"/>
      <w:bookmarkEnd w:id="109"/>
      <w:bookmarkEnd w:id="114"/>
    </w:p>
    <w:p>
      <w:pPr>
        <w:ind w:firstLineChars="200" w:firstLine="640"/>
        <w:jc w:val="left"/>
        <w:rPr>
          <w:rFonts w:ascii="仿宋_GB2312" w:eastAsia="仿宋_GB2312" w:cs="仿宋_GB2312"/>
          <w:sz w:val="22"/>
          <w:szCs w:val="22"/>
        </w:rPr>
      </w:pPr>
      <w:r>
        <w:rPr>
          <w:rFonts w:ascii="仿宋_GB2312" w:eastAsia="仿宋_GB2312" w:cs="仿宋_GB2312"/>
          <w:sz w:val="32"/>
          <w:szCs w:val="32"/>
        </w:rPr>
        <w:t>做好职教援疆工作。淮安市教育局与新疆农七师签订教育对口帮扶协调协议，双方制定了职教“345”援疆计划，从2018年开始，我市3所职业学校对口帮扶农七师职业学校4个专业，开展专业建设、校园文化等5项工作。</w:t>
      </w:r>
    </w:p>
    <w:p>
      <w:pPr>
        <w:spacing w:line="560" w:lineRule="exact"/>
        <w:ind w:firstLineChars="200" w:firstLine="640"/>
        <w:rPr>
          <w:rFonts w:ascii="仿宋_GB2312" w:eastAsia="仿宋_GB2312" w:cs="仿宋_GB2312"/>
          <w:sz w:val="32"/>
          <w:szCs w:val="32"/>
        </w:rPr>
      </w:pPr>
      <w:r>
        <w:rPr>
          <w:rFonts w:ascii="仿宋_GB2312" w:eastAsia="仿宋_GB2312" w:cs="仿宋_GB2312"/>
          <w:sz w:val="32"/>
          <w:szCs w:val="32"/>
        </w:rPr>
        <w:t>办好内地中职班。根据教育部内地建设计划，淮安生物工程高等职业学校于2011年起举办新疆中职班。2021年，内地班人数达到481人。办学九年来，不断为新疆培养输送专业技术人才，毕业生分布在全疆各地州，大部分已成为各自行业的技术骨干人才。日常管理中实行了新型的管理模式，秉承严、爱、细的原则，落实立德树人的根本任务。在管理理念和模式上不断创新，通过召开法制教育大会、组织学生参观爱国主义基地、组织书法大赛、组织老师到学生家进行家访等多种形式，对学生进行全方位的教育。针对新疆生源所在地区的农业生产特点，制定了适应性较强的人才培养方案，开展了形式多样的教育教学活动，提供了细致周到的生活服务，学生综合素质高，受到了学生、家长的好评。</w:t>
      </w:r>
    </w:p>
    <w:p>
      <w:pPr>
        <w:spacing w:line="560" w:lineRule="exact"/>
        <w:ind w:firstLineChars="200" w:firstLine="640"/>
        <w:rPr>
          <w:rFonts w:ascii="仿宋_GB2312" w:eastAsia="仿宋_GB2312" w:cs="仿宋_GB2312"/>
          <w:sz w:val="32"/>
          <w:szCs w:val="32"/>
        </w:rPr>
      </w:pPr>
      <w:r>
        <w:rPr>
          <w:rFonts w:ascii="仿宋_GB2312" w:eastAsia="仿宋_GB2312" w:cs="仿宋_GB2312"/>
          <w:sz w:val="32"/>
          <w:szCs w:val="32"/>
        </w:rPr>
        <w:t>扎实做好对口帮扶工作。</w:t>
      </w:r>
      <w:bookmarkStart w:id="115" w:name="_Toc25818"/>
      <w:bookmarkStart w:id="116" w:name="_Toc12634_WPSOffice_Level1"/>
      <w:r>
        <w:rPr>
          <w:rFonts w:ascii="仿宋_GB2312" w:eastAsia="仿宋_GB2312" w:cs="仿宋_GB2312"/>
          <w:sz w:val="32"/>
          <w:szCs w:val="32"/>
        </w:rPr>
        <w:t>2021年度，全市共对口帮扶学校12所，省外帮扶学校6所。</w:t>
      </w:r>
    </w:p>
    <w:p>
      <w:pPr>
        <w:spacing w:line="360" w:lineRule="auto"/>
        <w:jc w:val="center"/>
        <w:outlineLvl w:val="3"/>
        <w:rPr>
          <w:rFonts w:ascii="黑体" w:eastAsia="黑体" w:cs="楷体_GB2312" w:hint="eastAsia"/>
          <w:sz w:val="28"/>
          <w:szCs w:val="28"/>
        </w:rPr>
      </w:pPr>
      <w:r>
        <w:rPr>
          <w:rFonts w:ascii="黑体" w:eastAsia="黑体" w:cs="楷体_GB2312" w:hint="eastAsia"/>
          <w:sz w:val="28"/>
          <w:szCs w:val="28"/>
        </w:rPr>
        <w:t>典型案例12：民族团结一家亲 饮水思源念党恩</w:t>
      </w:r>
    </w:p>
    <w:p>
      <w:pPr>
        <w:spacing w:line="500" w:lineRule="exact"/>
        <w:ind w:firstLineChars="200" w:firstLine="560"/>
        <w:jc w:val="left"/>
        <w:rPr>
          <w:rFonts w:ascii="楷体_GB2312" w:eastAsia="楷体_GB2312" w:cs="楷体_GB2312"/>
          <w:sz w:val="28"/>
          <w:szCs w:val="28"/>
        </w:rPr>
      </w:pPr>
      <w:r>
        <w:rPr>
          <w:rFonts w:ascii="楷体_GB2312" w:eastAsia="楷体_GB2312" w:cs="楷体_GB2312" w:hint="eastAsia"/>
          <w:sz w:val="28"/>
          <w:szCs w:val="28"/>
        </w:rPr>
        <w:t>为进一步激发新疆内职班学生的爱国热情，增强民族责任感和使命感，推动党史学习教育入脑入心、走深走实，2021年5月2日，淮安生物工程高等职业学校依托淮安本土历史文化资源，利用“五一”假期，组织新疆部全体师生赴黄花塘新四军军部纪念馆、江苏盱眙第一山国家森林公园、金湖水上森林公园、淮安市规划馆等地开展红色研学活动。新疆部负责人严同云、学生处宣文秀、新疆部全体班主任及内派老师全程参与管理。副校长李慧参加了此次研学活动。</w:t>
      </w:r>
    </w:p>
    <w:p>
      <w:pPr>
        <w:spacing w:line="360" w:lineRule="auto"/>
        <w:jc w:val="center"/>
        <w:rPr>
          <w:rFonts w:ascii="楷体_GB2312" w:eastAsia="楷体_GB2312" w:cs="楷体_GB2312"/>
          <w:bCs/>
          <w:sz w:val="24"/>
          <w:szCs w:val="24"/>
        </w:rPr>
      </w:pPr>
      <w:r>
        <w:rPr>
          <w:rFonts w:ascii="楷体_GB2312" w:eastAsia="楷体_GB2312" w:cs="楷体_GB2312" w:hint="eastAsia"/>
          <w:bCs/>
          <w:sz w:val="24"/>
          <w:szCs w:val="24"/>
        </w:rPr>
        <w:drawing>
          <wp:inline distT="0" distB="0" distL="114300" distR="114300">
            <wp:extent cx="5219700" cy="3916680"/>
            <wp:effectExtent l="0" t="0" r="16" b="35"/>
            <wp:docPr id="61" name="图片 9" descr="IMG_256"/>
            <wp:cNvGraphicFramePr>
              <a:graphicFrameLocks noChangeAspect="1"/>
            </wp:cNvGraphicFramePr>
            <a:graphic>
              <a:graphicData uri="http://schemas.openxmlformats.org/drawingml/2006/picture">
                <pic:pic>
                  <pic:nvPicPr>
                    <pic:cNvPr id="63" name="图片 9 63"/>
                    <pic:cNvPicPr/>
                  </pic:nvPicPr>
                  <pic:blipFill>
                    <a:blip r:embed="rId39"/>
                    <a:stretch>
                      <a:fillRect/>
                    </a:stretch>
                  </pic:blipFill>
                  <pic:spPr>
                    <a:xfrm rot="0">
                      <a:off x="0" y="0"/>
                      <a:ext cx="5219700" cy="3916680"/>
                    </a:xfrm>
                    <a:prstGeom prst="roundRect">
                      <a:avLst>
                        <a:gd name="adj" fmla="val 16666"/>
                      </a:avLst>
                    </a:prstGeom>
                    <a:noFill/>
                    <a:ln w="9525" cmpd="sng" cap="flat">
                      <a:noFill/>
                      <a:prstDash val="solid"/>
                      <a:miter/>
                    </a:ln>
                  </pic:spPr>
                </pic:pic>
              </a:graphicData>
            </a:graphic>
          </wp:inline>
        </w:drawing>
      </w:r>
    </w:p>
    <w:p>
      <w:pPr>
        <w:spacing w:line="360" w:lineRule="auto"/>
        <w:jc w:val="center"/>
        <w:outlineLvl w:val="4"/>
        <w:rPr>
          <w:rFonts w:ascii="楷体_GB2312" w:eastAsia="楷体_GB2312" w:cs="楷体_GB2312"/>
          <w:bCs/>
          <w:sz w:val="24"/>
          <w:szCs w:val="24"/>
        </w:rPr>
      </w:pPr>
      <w:bookmarkStart w:id="117" w:name="_Toc1996"/>
      <w:bookmarkStart w:id="118" w:name="_Toc6886"/>
      <w:r>
        <w:rPr>
          <w:rFonts w:ascii="楷体_GB2312" w:eastAsia="楷体_GB2312" w:cs="楷体_GB2312" w:hint="eastAsia"/>
          <w:bCs/>
          <w:sz w:val="24"/>
          <w:szCs w:val="24"/>
        </w:rPr>
        <w:t>图</w:t>
      </w:r>
      <w:r>
        <w:rPr>
          <w:rFonts w:ascii="楷体_GB2312" w:eastAsia="楷体_GB2312" w:cs="楷体_GB2312"/>
          <w:bCs/>
          <w:sz w:val="24"/>
          <w:szCs w:val="24"/>
        </w:rPr>
        <w:t>5-7</w:t>
      </w:r>
      <w:r>
        <w:rPr>
          <w:rFonts w:ascii="楷体_GB2312" w:eastAsia="楷体_GB2312" w:cs="楷体_GB2312" w:hint="eastAsia"/>
          <w:bCs/>
          <w:sz w:val="24"/>
          <w:szCs w:val="24"/>
        </w:rPr>
        <w:t>：</w:t>
      </w:r>
      <w:r>
        <w:rPr>
          <w:rFonts w:ascii="楷体_GB2312" w:eastAsia="楷体_GB2312" w:cs="楷体_GB2312"/>
          <w:bCs/>
          <w:sz w:val="24"/>
          <w:szCs w:val="24"/>
        </w:rPr>
        <w:t>生物工程学校</w:t>
      </w:r>
      <w:r>
        <w:rPr>
          <w:rFonts w:ascii="楷体_GB2312" w:eastAsia="楷体_GB2312" w:cs="楷体_GB2312" w:hint="eastAsia"/>
          <w:bCs/>
          <w:sz w:val="24"/>
          <w:szCs w:val="24"/>
        </w:rPr>
        <w:t>新疆部学生赴黄花塘开展研学活动</w:t>
      </w:r>
      <w:bookmarkEnd w:id="117"/>
      <w:bookmarkEnd w:id="118"/>
    </w:p>
    <w:p>
      <w:pPr>
        <w:spacing w:line="560" w:lineRule="exact"/>
        <w:ind w:firstLineChars="200" w:firstLine="640"/>
        <w:rPr>
          <w:rFonts w:ascii="仿宋_GB2312" w:eastAsia="仿宋_GB2312" w:cs="仿宋_GB2312"/>
          <w:b/>
          <w:sz w:val="32"/>
          <w:szCs w:val="32"/>
        </w:rPr>
      </w:pPr>
      <w:bookmarkStart w:id="119" w:name="_Toc26729"/>
      <w:bookmarkStart w:id="120" w:name="_Toc24339"/>
      <w:r>
        <w:rPr>
          <w:rFonts w:ascii="仿宋_GB2312" w:eastAsia="仿宋_GB2312" w:cs="仿宋_GB2312"/>
          <w:b/>
          <w:sz w:val="32"/>
          <w:szCs w:val="32"/>
        </w:rPr>
        <w:t>5</w:t>
      </w:r>
      <w:r>
        <w:rPr>
          <w:rFonts w:ascii="仿宋_GB2312" w:eastAsia="仿宋_GB2312" w:cs="仿宋_GB2312" w:hint="eastAsia"/>
          <w:b/>
          <w:sz w:val="32"/>
          <w:szCs w:val="32"/>
        </w:rPr>
        <w:t>.4 服务抗疫</w:t>
      </w:r>
      <w:bookmarkEnd w:id="119"/>
      <w:bookmarkEnd w:id="120"/>
    </w:p>
    <w:p>
      <w:pPr>
        <w:spacing w:line="560" w:lineRule="exact"/>
        <w:ind w:firstLineChars="200" w:firstLine="640"/>
        <w:rPr>
          <w:rFonts w:ascii="仿宋_GB2312" w:eastAsia="仿宋_GB2312" w:cs="仿宋_GB2312"/>
          <w:sz w:val="32"/>
          <w:szCs w:val="32"/>
        </w:rPr>
      </w:pPr>
      <w:r>
        <w:rPr>
          <w:rFonts w:ascii="仿宋_GB2312" w:eastAsia="仿宋_GB2312" w:cs="仿宋_GB2312"/>
          <w:sz w:val="32"/>
          <w:szCs w:val="32"/>
        </w:rPr>
        <w:t>在后疫情期间，各职业学校积极动员师生参加抗疫志愿服务工作，2021年度志愿者人数达到23205人次，其中抗疫志愿者达5002人次。服务抗疫物品价值达85.46万元。</w:t>
      </w:r>
    </w:p>
    <w:p>
      <w:pPr>
        <w:pStyle w:val="15"/>
      </w:pPr>
      <w:r>
        <w:rPr>
          <w:rFonts w:ascii="楷体_GB2312" w:eastAsia="楷体_GB2312" w:cs="楷体_GB2312"/>
          <w:sz w:val="28"/>
          <w:szCs w:val="28"/>
        </w:rPr>
        <w:drawing>
          <wp:anchor distT="0" distB="0" distL="114300" distR="114300" simplePos="0" relativeHeight="123" behindDoc="0" locked="0" layoutInCell="1" hidden="0" allowOverlap="1">
            <wp:simplePos x="0" y="0"/>
            <wp:positionH relativeFrom="column">
              <wp:posOffset>835055</wp:posOffset>
            </wp:positionH>
            <wp:positionV relativeFrom="paragraph">
              <wp:posOffset>198500</wp:posOffset>
            </wp:positionV>
            <wp:extent cx="4146550" cy="1708150"/>
            <wp:effectExtent l="0" t="0" r="0" b="0"/>
            <wp:wrapTopAndBottom/>
            <wp:docPr id="64" name="图表 19"/>
            <wp:cNvGraphicFramePr>
              <a:graphicFrameLocks noChangeAspect="0"/>
            </wp:cNvGraphicFramePr>
            <a:graphic>
              <a:graphicData uri="http://schemas.openxmlformats.org/drawingml/2006/chart">
                <c:chart xmlns:c="http://schemas.openxmlformats.org/drawingml/2006/chart" r:id="rId40"/>
              </a:graphicData>
            </a:graphic>
          </wp:anchor>
        </w:drawing>
      </w:r>
    </w:p>
    <w:p>
      <w:pPr>
        <w:pStyle w:val="18"/>
        <w:ind w:leftChars="0" w:left="0"/>
        <w:jc w:val="center"/>
        <w:rPr>
          <w:rFonts w:eastAsia="仿宋_GB2312" w:cs="仿宋_GB2312"/>
        </w:rPr>
      </w:pPr>
      <w:r>
        <w:rPr>
          <w:rFonts w:eastAsia="仿宋_GB2312" w:cs="仿宋_GB2312" w:hint="eastAsia"/>
        </w:rPr>
        <w:t>图5-</w:t>
      </w:r>
      <w:r>
        <w:rPr>
          <w:rFonts w:eastAsia="仿宋_GB2312" w:cs="仿宋_GB2312"/>
        </w:rPr>
        <w:t>8 2020</w:t>
      </w:r>
      <w:r>
        <w:rPr>
          <w:rFonts w:eastAsia="仿宋_GB2312" w:cs="仿宋_GB2312" w:hint="eastAsia"/>
        </w:rPr>
        <w:t>、2</w:t>
      </w:r>
      <w:r>
        <w:rPr>
          <w:rFonts w:eastAsia="仿宋_GB2312" w:cs="仿宋_GB2312"/>
        </w:rPr>
        <w:t>021</w:t>
      </w:r>
      <w:r>
        <w:rPr>
          <w:rFonts w:eastAsia="仿宋_GB2312" w:cs="仿宋_GB2312" w:hint="eastAsia"/>
        </w:rPr>
        <w:t>年志愿者及抗疫志愿者人数统计</w:t>
      </w:r>
    </w:p>
    <w:p>
      <w:pPr>
        <w:ind w:firstLineChars="900" w:firstLine="2160"/>
        <w:rPr>
          <w:rFonts w:ascii="Times New Roman" w:eastAsia="仿宋_GB2312" w:cs="仿宋_GB2312" w:hAnsi="Times New Roman"/>
          <w:sz w:val="24"/>
        </w:rPr>
      </w:pPr>
      <w:r>
        <w:rPr>
          <w:rFonts w:ascii="Times New Roman" w:eastAsia="仿宋_GB2312" w:cs="仿宋_GB2312" w:hAnsi="Times New Roman" w:hint="eastAsia"/>
          <w:sz w:val="24"/>
        </w:rPr>
        <w:t>图5-</w:t>
      </w:r>
      <w:r>
        <w:rPr>
          <w:rFonts w:ascii="Times New Roman" w:eastAsia="仿宋_GB2312" w:cs="仿宋_GB2312" w:hAnsi="Times New Roman"/>
          <w:sz w:val="24"/>
        </w:rPr>
        <w:t>9 2020</w:t>
      </w:r>
      <w:r>
        <w:rPr>
          <w:rFonts w:ascii="Times New Roman" w:eastAsia="仿宋_GB2312" w:cs="仿宋_GB2312" w:hAnsi="Times New Roman" w:hint="eastAsia"/>
          <w:sz w:val="24"/>
        </w:rPr>
        <w:t>、2</w:t>
      </w:r>
      <w:r>
        <w:rPr>
          <w:rFonts w:ascii="Times New Roman" w:eastAsia="仿宋_GB2312" w:cs="仿宋_GB2312" w:hAnsi="Times New Roman"/>
          <w:sz w:val="24"/>
        </w:rPr>
        <w:t>021</w:t>
      </w:r>
      <w:r>
        <w:rPr>
          <w:rFonts w:ascii="Times New Roman" w:eastAsia="仿宋_GB2312" w:cs="仿宋_GB2312" w:hAnsi="Times New Roman" w:hint="eastAsia"/>
          <w:sz w:val="24"/>
        </w:rPr>
        <w:t>年服务抗疫物品价值对比</w:t>
      </w:r>
      <w:r>
        <w:rPr>
          <w:rFonts w:ascii="Times New Roman" w:eastAsia="仿宋_GB2312" w:cs="仿宋_GB2312" w:hAnsi="Times New Roman" w:hint="eastAsia"/>
          <w:sz w:val="24"/>
        </w:rPr>
        <w:drawing>
          <wp:anchor distT="0" distB="0" distL="114300" distR="114300" simplePos="0" relativeHeight="113" behindDoc="0" locked="0" layoutInCell="1" hidden="0" allowOverlap="1">
            <wp:simplePos x="0" y="0"/>
            <wp:positionH relativeFrom="column">
              <wp:posOffset>1125266</wp:posOffset>
            </wp:positionH>
            <wp:positionV relativeFrom="paragraph">
              <wp:posOffset>112392</wp:posOffset>
            </wp:positionV>
            <wp:extent cx="3492500" cy="1885950"/>
            <wp:effectExtent l="0" t="0" r="0" b="0"/>
            <wp:wrapTopAndBottom/>
            <wp:docPr id="65" name="图表 40"/>
            <wp:cNvGraphicFramePr>
              <a:graphicFrameLocks noChangeAspect="0"/>
            </wp:cNvGraphicFramePr>
            <a:graphic>
              <a:graphicData uri="http://schemas.openxmlformats.org/drawingml/2006/chart">
                <c:chart xmlns:c="http://schemas.openxmlformats.org/drawingml/2006/chart" r:id="rId41"/>
              </a:graphicData>
            </a:graphic>
          </wp:anchor>
        </w:drawing>
      </w:r>
    </w:p>
    <w:p>
      <w:pPr>
        <w:spacing w:line="520" w:lineRule="exact"/>
        <w:ind w:right="1284"/>
        <w:jc w:val="center"/>
        <w:rPr>
          <w:rFonts w:ascii="黑体" w:eastAsia="黑体" w:hint="eastAsia"/>
          <w:sz w:val="28"/>
          <w:szCs w:val="28"/>
        </w:rPr>
      </w:pPr>
      <w:r>
        <w:rPr>
          <w:rFonts w:ascii="黑体" w:eastAsia="黑体" w:hint="eastAsia"/>
          <w:sz w:val="28"/>
          <w:szCs w:val="28"/>
        </w:rPr>
        <w:t>典型案例</w:t>
      </w:r>
      <w:r>
        <w:rPr>
          <w:rFonts w:ascii="黑体" w:eastAsia="黑体"/>
          <w:sz w:val="28"/>
          <w:szCs w:val="28"/>
        </w:rPr>
        <w:t>13</w:t>
      </w:r>
      <w:r>
        <w:rPr>
          <w:rFonts w:ascii="黑体" w:eastAsia="黑体" w:hint="eastAsia"/>
          <w:sz w:val="28"/>
          <w:szCs w:val="28"/>
        </w:rPr>
        <w:t>：</w:t>
      </w:r>
      <w:r>
        <w:rPr>
          <w:rFonts w:ascii="黑体" w:eastAsia="黑体"/>
          <w:sz w:val="28"/>
          <w:szCs w:val="28"/>
        </w:rPr>
        <w:t xml:space="preserve"> </w:t>
      </w:r>
      <w:r>
        <w:rPr>
          <w:rFonts w:ascii="黑体" w:eastAsia="黑体" w:hint="eastAsia"/>
          <w:sz w:val="28"/>
          <w:szCs w:val="28"/>
        </w:rPr>
        <w:t>洪泽中专战“疫”一线显担当</w:t>
      </w:r>
    </w:p>
    <w:p>
      <w:pPr>
        <w:spacing w:line="500" w:lineRule="exact"/>
        <w:ind w:firstLineChars="200" w:firstLine="560"/>
        <w:rPr>
          <w:rFonts w:ascii="方正楷体_GBK" w:eastAsia="方正楷体_GBK" w:hint="eastAsia"/>
          <w:kern w:val="0"/>
          <w:sz w:val="28"/>
          <w:szCs w:val="28"/>
        </w:rPr>
      </w:pPr>
      <w:r>
        <w:rPr>
          <w:rFonts w:ascii="方正楷体_GBK" w:eastAsia="方正楷体_GBK"/>
          <w:kern w:val="0"/>
          <w:sz w:val="28"/>
          <w:szCs w:val="28"/>
        </w:rPr>
        <w:t>2021年暑假期间，</w:t>
      </w:r>
      <w:r>
        <w:rPr>
          <w:rFonts w:ascii="方正楷体_GBK" w:eastAsia="方正楷体_GBK" w:hint="eastAsia"/>
          <w:kern w:val="0"/>
          <w:sz w:val="28"/>
          <w:szCs w:val="28"/>
        </w:rPr>
        <w:t>江苏省洪泽中等专业学校</w:t>
      </w:r>
      <w:r>
        <w:rPr>
          <w:rFonts w:ascii="方正楷体_GBK" w:eastAsia="方正楷体_GBK"/>
          <w:kern w:val="0"/>
          <w:sz w:val="28"/>
          <w:szCs w:val="28"/>
        </w:rPr>
        <w:t>承担了新冠疫情</w:t>
      </w:r>
      <w:r>
        <w:rPr>
          <w:rFonts w:ascii="方正楷体_GBK" w:eastAsia="方正楷体_GBK" w:hint="eastAsia"/>
          <w:kern w:val="0"/>
          <w:sz w:val="28"/>
          <w:szCs w:val="28"/>
        </w:rPr>
        <w:t>医学观察隔离点</w:t>
      </w:r>
      <w:r>
        <w:rPr>
          <w:rFonts w:ascii="方正楷体_GBK" w:eastAsia="方正楷体_GBK"/>
          <w:kern w:val="0"/>
          <w:sz w:val="28"/>
          <w:szCs w:val="28"/>
        </w:rPr>
        <w:t>的任务，</w:t>
      </w:r>
      <w:r>
        <w:rPr>
          <w:rFonts w:ascii="方正楷体_GBK" w:eastAsia="方正楷体_GBK" w:hint="eastAsia"/>
          <w:kern w:val="0"/>
          <w:sz w:val="28"/>
          <w:szCs w:val="28"/>
        </w:rPr>
        <w:t>7月31日至8月3日，接纳了隔离人员共计311名，其中亲密接触者135人，次亲密接触者176人。总指挥成群星校长、现场总指挥伍永年副校长、现场总协调刘正茂副校长以及42位教职工成立了工作小组，与驻点工作人员、医务人员共同做好密切接触者的接收、服务和保障工作。在这之中，最苦最累的就是餐饮工作者，一日三餐，他们要为三百多名隔离人员送餐、递送急需物品，并及时清理隔离区垃圾。他们都是主动报名的志愿者，有后勤工作人员也有中层干部，他们的工作是与隔离人员“接触”最多的，可他们依旧客服重重困难，逆流而上，志愿工作在最前线。 上下同欲者胜，同舟共济者赢。”在战“疫”打响的关键时刻，洪泽中专的教职工主动投身战“疫”一线，在校外、校内两个战场同时作战，彰显了洪泽中专人的使命与担当，诠释了洪泽中专“诚信做人 踏实做事”的校训。</w:t>
      </w:r>
    </w:p>
    <w:p>
      <w:pPr>
        <w:pStyle w:val="18"/>
        <w:rPr>
          <w:rFonts w:hint="eastAsia"/>
        </w:rPr>
      </w:pPr>
      <w:r>
        <w:rPr>
          <w:rFonts w:ascii="宋体" w:cs="宋体"/>
          <w:kern w:val="0"/>
          <w:sz w:val="24"/>
        </w:rPr>
        <w:drawing>
          <wp:inline distT="0" distB="0" distL="113665" distR="113665">
            <wp:extent cx="2533650" cy="1676400"/>
            <wp:effectExtent l="0" t="0" r="39" b="26"/>
            <wp:docPr id="66" name="_x0000_i1025"/>
            <wp:cNvGraphicFramePr>
              <a:graphicFrameLocks noChangeAspect="1"/>
            </wp:cNvGraphicFramePr>
            <a:graphic>
              <a:graphicData uri="http://schemas.openxmlformats.org/drawingml/2006/picture">
                <pic:pic>
                  <pic:nvPicPr>
                    <pic:cNvPr id="68" name="_x0000_i1025 68"/>
                    <pic:cNvPicPr/>
                  </pic:nvPicPr>
                  <pic:blipFill>
                    <a:blip r:embed="rId42"/>
                    <a:stretch>
                      <a:fillRect/>
                    </a:stretch>
                  </pic:blipFill>
                  <pic:spPr>
                    <a:xfrm rot="0">
                      <a:off x="0" y="0"/>
                      <a:ext cx="2533650" cy="1676400"/>
                    </a:xfrm>
                    <a:prstGeom prst="rect"/>
                    <a:noFill/>
                    <a:ln w="9525" cmpd="sng" cap="flat">
                      <a:noFill/>
                      <a:prstDash val="solid"/>
                      <a:miter/>
                    </a:ln>
                  </pic:spPr>
                </pic:pic>
              </a:graphicData>
            </a:graphic>
          </wp:inline>
        </w:drawing>
      </w:r>
      <w:r>
        <w:rPr>
          <w:rFonts w:ascii="宋体" w:cs="宋体"/>
          <w:kern w:val="0"/>
          <w:sz w:val="24"/>
        </w:rPr>
        <w:drawing>
          <wp:inline distT="0" distB="0" distL="113665" distR="113665">
            <wp:extent cx="2520950" cy="1670050"/>
            <wp:effectExtent l="0" t="0" r="7" b="38"/>
            <wp:docPr id="69" name="_x0000_i1026"/>
            <wp:cNvGraphicFramePr>
              <a:graphicFrameLocks noChangeAspect="1"/>
            </wp:cNvGraphicFramePr>
            <a:graphic>
              <a:graphicData uri="http://schemas.openxmlformats.org/drawingml/2006/picture">
                <pic:pic>
                  <pic:nvPicPr>
                    <pic:cNvPr id="71" name="_x0000_i1026 71"/>
                    <pic:cNvPicPr/>
                  </pic:nvPicPr>
                  <pic:blipFill>
                    <a:blip r:embed="rId43"/>
                    <a:stretch>
                      <a:fillRect/>
                    </a:stretch>
                  </pic:blipFill>
                  <pic:spPr>
                    <a:xfrm rot="0">
                      <a:off x="0" y="0"/>
                      <a:ext cx="2520950" cy="1670050"/>
                    </a:xfrm>
                    <a:prstGeom prst="rect"/>
                    <a:noFill/>
                    <a:ln w="9525" cmpd="sng" cap="flat">
                      <a:noFill/>
                      <a:prstDash val="solid"/>
                      <a:miter/>
                    </a:ln>
                  </pic:spPr>
                </pic:pic>
              </a:graphicData>
            </a:graphic>
          </wp:inline>
        </w:drawing>
      </w:r>
    </w:p>
    <w:p>
      <w:pPr>
        <w:spacing w:line="520" w:lineRule="exact"/>
        <w:ind w:firstLineChars="1000" w:firstLine="2400"/>
        <w:rPr>
          <w:rFonts w:ascii="仿宋" w:eastAsia="仿宋"/>
          <w:kern w:val="0"/>
          <w:sz w:val="28"/>
          <w:szCs w:val="28"/>
        </w:rPr>
      </w:pPr>
      <w:r>
        <w:rPr>
          <w:rFonts w:ascii="Times New Roman" w:eastAsia="仿宋_GB2312" w:cs="仿宋_GB2312" w:hAnsi="Times New Roman" w:hint="eastAsia"/>
          <w:sz w:val="24"/>
        </w:rPr>
        <w:t>图5-</w:t>
      </w:r>
      <w:r>
        <w:rPr>
          <w:rFonts w:ascii="Times New Roman" w:eastAsia="仿宋_GB2312" w:cs="仿宋_GB2312" w:hAnsi="Times New Roman"/>
          <w:sz w:val="24"/>
        </w:rPr>
        <w:t xml:space="preserve">10 </w:t>
      </w:r>
      <w:r>
        <w:rPr>
          <w:rFonts w:ascii="Times New Roman" w:eastAsia="仿宋_GB2312" w:cs="仿宋_GB2312" w:hAnsi="Times New Roman" w:hint="eastAsia"/>
          <w:sz w:val="24"/>
        </w:rPr>
        <w:t>疫情期间餐饮工作者</w:t>
      </w:r>
    </w:p>
    <w:p>
      <w:pPr>
        <w:pStyle w:val="23"/>
        <w:spacing w:beforeAutospacing="0" w:afterAutospacing="0" w:line="500" w:lineRule="exact"/>
        <w:ind w:firstLineChars="200" w:firstLine="640"/>
        <w:outlineLvl w:val="0"/>
        <w:rPr>
          <w:rFonts w:ascii="黑体" w:eastAsia="黑体" w:cs="仿宋_GB2312"/>
          <w:sz w:val="32"/>
          <w:szCs w:val="32"/>
          <w:shd w:val="clear" w:color="auto" w:fill="FFFFFF"/>
        </w:rPr>
      </w:pPr>
      <w:bookmarkStart w:id="121" w:name="_Toc84605548"/>
      <w:r>
        <w:rPr>
          <w:rFonts w:ascii="黑体" w:eastAsia="黑体" w:cs="仿宋_GB2312"/>
          <w:sz w:val="32"/>
          <w:szCs w:val="32"/>
          <w:shd w:val="clear" w:color="auto" w:fill="FFFFFF"/>
        </w:rPr>
        <w:t>6.</w:t>
      </w:r>
      <w:r>
        <w:rPr>
          <w:rFonts w:ascii="黑体" w:eastAsia="黑体" w:cs="仿宋_GB2312" w:hint="eastAsia"/>
          <w:sz w:val="32"/>
          <w:szCs w:val="32"/>
          <w:shd w:val="clear" w:color="auto" w:fill="FFFFFF"/>
        </w:rPr>
        <w:t>国际合作</w:t>
      </w:r>
      <w:bookmarkEnd w:id="121"/>
    </w:p>
    <w:p>
      <w:pPr>
        <w:pStyle w:val="23"/>
        <w:spacing w:beforeAutospacing="0" w:afterAutospacing="0" w:line="560" w:lineRule="exact"/>
        <w:ind w:firstLine="640"/>
        <w:outlineLvl w:val="1"/>
        <w:rPr>
          <w:rFonts w:ascii="仿宋_GB2312" w:eastAsia="仿宋_GB2312" w:cs="仿宋_GB2312"/>
          <w:b/>
          <w:kern w:val="2"/>
          <w:sz w:val="32"/>
          <w:szCs w:val="32"/>
        </w:rPr>
      </w:pPr>
      <w:bookmarkStart w:id="122" w:name="_Toc28684"/>
      <w:bookmarkStart w:id="123" w:name="_Toc30437"/>
      <w:bookmarkStart w:id="124" w:name="_Toc84605549"/>
      <w:r>
        <w:rPr>
          <w:rFonts w:ascii="仿宋_GB2312" w:eastAsia="仿宋_GB2312" w:cs="仿宋_GB2312"/>
          <w:b/>
          <w:kern w:val="2"/>
          <w:sz w:val="32"/>
          <w:szCs w:val="32"/>
        </w:rPr>
        <w:t>6.1</w:t>
      </w:r>
      <w:bookmarkEnd w:id="115"/>
      <w:bookmarkEnd w:id="122"/>
      <w:bookmarkEnd w:id="123"/>
      <w:r>
        <w:rPr>
          <w:rFonts w:ascii="仿宋_GB2312" w:eastAsia="仿宋_GB2312" w:cs="仿宋_GB2312" w:hint="eastAsia"/>
          <w:b/>
          <w:kern w:val="2"/>
          <w:sz w:val="32"/>
          <w:szCs w:val="32"/>
        </w:rPr>
        <w:t>合作平台</w:t>
      </w:r>
      <w:bookmarkEnd w:id="124"/>
    </w:p>
    <w:p>
      <w:pPr>
        <w:pStyle w:val="23"/>
        <w:spacing w:beforeAutospacing="0" w:afterAutospacing="0" w:line="560" w:lineRule="exact"/>
        <w:ind w:firstLine="640"/>
        <w:outlineLvl w:val="1"/>
        <w:rPr>
          <w:rFonts w:ascii="仿宋_GB2312" w:eastAsia="仿宋_GB2312" w:cs="仿宋_GB2312"/>
          <w:bCs/>
          <w:kern w:val="2"/>
          <w:sz w:val="32"/>
          <w:szCs w:val="32"/>
        </w:rPr>
      </w:pPr>
      <w:bookmarkStart w:id="125" w:name="_Toc59566753"/>
      <w:bookmarkStart w:id="126" w:name="_Toc84605550"/>
      <w:r>
        <w:rPr>
          <w:rFonts w:ascii="仿宋_GB2312" w:eastAsia="仿宋_GB2312" w:cs="仿宋_GB2312"/>
          <w:bCs/>
          <w:kern w:val="2"/>
          <w:sz w:val="32"/>
          <w:szCs w:val="32"/>
        </w:rPr>
        <w:t>各职业学校能积极开展与</w:t>
      </w:r>
      <w:r>
        <w:rPr>
          <w:rFonts w:ascii="仿宋_GB2312" w:eastAsia="仿宋_GB2312" w:cs="仿宋_GB2312" w:hint="eastAsia"/>
          <w:bCs/>
          <w:kern w:val="2"/>
          <w:sz w:val="32"/>
          <w:szCs w:val="32"/>
          <w:lang w:val="en-US" w:eastAsia="zh-CN"/>
        </w:rPr>
        <w:t>境</w:t>
      </w:r>
      <w:r>
        <w:rPr>
          <w:rFonts w:ascii="仿宋_GB2312" w:eastAsia="仿宋_GB2312" w:cs="仿宋_GB2312"/>
          <w:bCs/>
          <w:kern w:val="2"/>
          <w:sz w:val="32"/>
          <w:szCs w:val="32"/>
        </w:rPr>
        <w:t>外机构联合建立培训基地、参与政府支持的证书项目。</w:t>
      </w:r>
      <w:bookmarkEnd w:id="125"/>
      <w:r>
        <w:rPr>
          <w:rFonts w:ascii="仿宋_GB2312" w:eastAsia="仿宋_GB2312" w:cs="仿宋_GB2312"/>
          <w:bCs/>
          <w:kern w:val="2"/>
          <w:sz w:val="32"/>
          <w:szCs w:val="32"/>
        </w:rPr>
        <w:t>淮安生物工程学校对接我市现代特色农业，与淮安市台协签署战略合作协议，成立淮台现代职教集团，与全稳康源农业发展有限公司等市台协会员中的主要企业紧密对接，每年开展对话交流活动。淮安中专“双元制”已形成本土培养模式，学校与德国工商大会海外商会合作培养模具、机电、汽车专业人才，学生考试合格可获得AHK颁发的技能证书，在所有的德资企业通用。与印度软件技术公司合作NIIT模式，将企业课程模块嵌入人才培养方案。盱眙中专与法国达索公司合作成立了3D数字化实训体验及CSWA考试认证中心。淮阴中专、洪泽中专、淮安工业中专、淮安技师学院和中德诺浩合作办学，企业培训教师，提供结合德国的课程教学体系和网络课程资源，学生参加“F+U”国际通用证书考证。</w:t>
      </w:r>
      <w:bookmarkEnd w:id="126"/>
    </w:p>
    <w:p>
      <w:pPr>
        <w:pStyle w:val="23"/>
        <w:spacing w:beforeAutospacing="0" w:afterAutospacing="0" w:line="560" w:lineRule="exact"/>
        <w:ind w:firstLine="640"/>
        <w:outlineLvl w:val="1"/>
        <w:rPr>
          <w:rFonts w:ascii="仿宋_GB2312" w:eastAsia="仿宋_GB2312" w:cs="仿宋_GB2312"/>
          <w:b/>
          <w:kern w:val="2"/>
          <w:sz w:val="32"/>
          <w:szCs w:val="32"/>
        </w:rPr>
      </w:pPr>
      <w:bookmarkStart w:id="127" w:name="_Toc84605551"/>
      <w:r>
        <w:rPr>
          <w:rFonts w:ascii="仿宋_GB2312" w:eastAsia="仿宋_GB2312" w:cs="仿宋_GB2312" w:hint="eastAsia"/>
          <w:b/>
          <w:kern w:val="2"/>
          <w:sz w:val="32"/>
          <w:szCs w:val="32"/>
        </w:rPr>
        <w:t>6</w:t>
      </w:r>
      <w:r>
        <w:rPr>
          <w:rFonts w:ascii="仿宋_GB2312" w:eastAsia="仿宋_GB2312" w:cs="仿宋_GB2312"/>
          <w:b/>
          <w:kern w:val="2"/>
          <w:sz w:val="32"/>
          <w:szCs w:val="32"/>
        </w:rPr>
        <w:t xml:space="preserve">.2 </w:t>
      </w:r>
      <w:r>
        <w:rPr>
          <w:rFonts w:ascii="仿宋_GB2312" w:eastAsia="仿宋_GB2312" w:cs="仿宋_GB2312" w:hint="eastAsia"/>
          <w:b/>
          <w:kern w:val="2"/>
          <w:sz w:val="32"/>
          <w:szCs w:val="32"/>
        </w:rPr>
        <w:t>合作项目</w:t>
      </w:r>
      <w:bookmarkEnd w:id="127"/>
    </w:p>
    <w:p>
      <w:pPr>
        <w:pStyle w:val="23"/>
        <w:spacing w:beforeAutospacing="0" w:afterAutospacing="0" w:line="560" w:lineRule="exact"/>
        <w:ind w:firstLine="640"/>
        <w:outlineLvl w:val="1"/>
        <w:rPr>
          <w:rFonts w:ascii="仿宋_GB2312" w:eastAsia="仿宋_GB2312" w:cs="仿宋_GB2312"/>
          <w:color w:val="000000"/>
          <w:sz w:val="32"/>
          <w:szCs w:val="32"/>
        </w:rPr>
      </w:pPr>
      <w:bookmarkStart w:id="128" w:name="_Toc84605552"/>
      <w:bookmarkStart w:id="129" w:name="_Toc59566755"/>
      <w:r>
        <w:rPr>
          <w:rFonts w:ascii="仿宋_GB2312" w:eastAsia="仿宋_GB2312" w:cs="仿宋_GB2312"/>
          <w:sz w:val="32"/>
          <w:szCs w:val="32"/>
        </w:rPr>
        <w:t>扩大国际合作</w:t>
      </w:r>
      <w:r>
        <w:rPr>
          <w:rFonts w:ascii="仿宋_GB2312" w:eastAsia="仿宋_GB2312" w:cs="仿宋_GB2312" w:hint="eastAsia"/>
          <w:color w:val="000000"/>
          <w:sz w:val="32"/>
          <w:szCs w:val="32"/>
        </w:rPr>
        <w:t>。积极引进对接国际通用资格证书，2</w:t>
      </w:r>
      <w:r>
        <w:rPr>
          <w:rFonts w:ascii="仿宋_GB2312" w:eastAsia="仿宋_GB2312" w:cs="仿宋_GB2312"/>
          <w:color w:val="000000"/>
          <w:sz w:val="32"/>
          <w:szCs w:val="32"/>
        </w:rPr>
        <w:t>021</w:t>
      </w:r>
      <w:r>
        <w:rPr>
          <w:rFonts w:ascii="仿宋_GB2312" w:eastAsia="仿宋_GB2312" w:cs="仿宋_GB2312" w:hint="eastAsia"/>
          <w:color w:val="000000"/>
          <w:sz w:val="32"/>
          <w:szCs w:val="32"/>
        </w:rPr>
        <w:t>年，我市目前共有合作项目7个，对接</w:t>
      </w:r>
      <w:r>
        <w:rPr>
          <w:rFonts w:ascii="仿宋_GB2312" w:eastAsia="仿宋_GB2312" w:cs="仿宋_GB2312"/>
          <w:color w:val="000000"/>
          <w:sz w:val="32"/>
          <w:szCs w:val="32"/>
        </w:rPr>
        <w:t>2</w:t>
      </w:r>
      <w:r>
        <w:rPr>
          <w:rFonts w:ascii="仿宋_GB2312" w:eastAsia="仿宋_GB2312" w:cs="仿宋_GB2312" w:hint="eastAsia"/>
          <w:color w:val="000000"/>
          <w:sz w:val="32"/>
          <w:szCs w:val="32"/>
        </w:rPr>
        <w:t>个国际资格证书标准，国际交流合作程度</w:t>
      </w:r>
      <w:r>
        <w:rPr>
          <w:rFonts w:ascii="仿宋_GB2312" w:eastAsia="仿宋_GB2312" w:cs="仿宋_GB2312" w:hint="eastAsia"/>
          <w:color w:val="000000"/>
          <w:sz w:val="32"/>
          <w:szCs w:val="32"/>
          <w:lang w:val="en-US" w:eastAsia="zh-CN"/>
        </w:rPr>
        <w:t>不断推进</w:t>
      </w:r>
      <w:r>
        <w:rPr>
          <w:rFonts w:ascii="仿宋_GB2312" w:eastAsia="仿宋_GB2312" w:cs="仿宋_GB2312" w:hint="eastAsia"/>
          <w:color w:val="000000"/>
          <w:sz w:val="32"/>
          <w:szCs w:val="32"/>
        </w:rPr>
        <w:t>。</w:t>
      </w:r>
      <w:bookmarkEnd w:id="128"/>
      <w:bookmarkEnd w:id="129"/>
    </w:p>
    <w:p>
      <w:pPr>
        <w:spacing w:line="500" w:lineRule="exact"/>
        <w:jc w:val="center"/>
        <w:rPr>
          <w:rFonts w:ascii="Times New Roman" w:eastAsia="仿宋_GB2312" w:cs="仿宋_GB2312" w:hAnsi="Times New Roman"/>
          <w:sz w:val="24"/>
        </w:rPr>
      </w:pPr>
      <w:r>
        <w:rPr>
          <w:rFonts w:ascii="Times New Roman" w:eastAsia="仿宋_GB2312" w:cs="仿宋_GB2312" w:hAnsi="Times New Roman" w:hint="eastAsia"/>
          <w:sz w:val="24"/>
        </w:rPr>
        <w:t>表</w:t>
      </w:r>
      <w:r>
        <w:rPr>
          <w:rFonts w:ascii="Times New Roman" w:eastAsia="仿宋_GB2312" w:cs="仿宋_GB2312" w:hAnsi="Times New Roman"/>
          <w:sz w:val="24"/>
        </w:rPr>
        <w:t>6</w:t>
      </w:r>
      <w:r>
        <w:rPr>
          <w:rFonts w:ascii="Times New Roman" w:eastAsia="仿宋_GB2312" w:cs="仿宋_GB2312" w:hAnsi="Times New Roman" w:hint="eastAsia"/>
          <w:sz w:val="24"/>
        </w:rPr>
        <w:t>-</w:t>
      </w:r>
      <w:r>
        <w:rPr>
          <w:rFonts w:ascii="Times New Roman" w:eastAsia="仿宋_GB2312" w:cs="仿宋_GB2312" w:hAnsi="Times New Roman"/>
          <w:sz w:val="24"/>
        </w:rPr>
        <w:t>1</w:t>
      </w:r>
      <w:r>
        <w:rPr>
          <w:rFonts w:ascii="Times New Roman" w:eastAsia="仿宋_GB2312" w:cs="仿宋_GB2312" w:hAnsi="Times New Roman" w:hint="eastAsia"/>
          <w:sz w:val="24"/>
        </w:rPr>
        <w:t>：中职学校国际合作情况</w:t>
      </w:r>
    </w:p>
    <w:tbl>
      <w:tblPr>
        <w:jc w:val="center"/>
        <w:tblW w:w="6912"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Grid>
        <w:gridCol w:w="2182"/>
        <w:gridCol w:w="3042"/>
        <w:gridCol w:w="1688"/>
      </w:tblGrid>
      <w:tr>
        <w:trPr>
          <w:trHeight w:val="733"/>
        </w:trPr>
        <w:tc>
          <w:tcPr>
            <w:tcW w:w="2182"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hint="eastAsia"/>
                <w:b/>
                <w:bCs/>
                <w:color w:val="000000"/>
                <w:kern w:val="0"/>
                <w:sz w:val="24"/>
              </w:rPr>
            </w:pPr>
            <w:r>
              <w:rPr>
                <w:rFonts w:ascii="宋体" w:cs="宋体" w:hint="eastAsia"/>
                <w:b/>
                <w:bCs/>
                <w:color w:val="000000"/>
                <w:kern w:val="0"/>
                <w:sz w:val="24"/>
              </w:rPr>
              <w:t>学校</w:t>
            </w:r>
          </w:p>
        </w:tc>
        <w:tc>
          <w:tcPr>
            <w:tcW w:w="3042"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hint="eastAsia"/>
                <w:b/>
                <w:bCs/>
                <w:color w:val="000000"/>
                <w:kern w:val="0"/>
                <w:sz w:val="24"/>
              </w:rPr>
            </w:pPr>
            <w:r>
              <w:rPr>
                <w:rFonts w:ascii="宋体" w:cs="宋体" w:hint="eastAsia"/>
                <w:b/>
                <w:bCs/>
                <w:color w:val="000000"/>
                <w:kern w:val="0"/>
                <w:sz w:val="24"/>
              </w:rPr>
              <w:t>国际合作项目名称</w:t>
            </w:r>
          </w:p>
        </w:tc>
        <w:tc>
          <w:tcPr>
            <w:tcW w:w="1688"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hint="eastAsia"/>
                <w:b/>
                <w:bCs/>
                <w:color w:val="000000"/>
                <w:kern w:val="0"/>
                <w:sz w:val="24"/>
              </w:rPr>
            </w:pPr>
            <w:r>
              <w:rPr>
                <w:rFonts w:ascii="宋体" w:cs="宋体" w:hint="eastAsia"/>
                <w:b/>
                <w:bCs/>
                <w:color w:val="000000"/>
                <w:kern w:val="0"/>
                <w:sz w:val="24"/>
              </w:rPr>
              <w:t>项目参与人数</w:t>
            </w:r>
          </w:p>
        </w:tc>
      </w:tr>
      <w:tr>
        <w:trPr>
          <w:trHeight w:val="680"/>
        </w:trPr>
        <w:tc>
          <w:tcPr>
            <w:tcW w:w="2182" w:type="dxa"/>
            <w:tcBorders>
              <w:top w:val="single" w:sz="4" w:space="0" w:color="4BACC6"/>
              <w:left w:val="single" w:sz="4" w:space="0" w:color="4BACC6"/>
              <w:bottom w:val="single" w:sz="4" w:space="0" w:color="4BACC6"/>
              <w:right w:val="single" w:sz="4" w:space="0" w:color="4BACC6"/>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淮安市高职校</w:t>
            </w:r>
          </w:p>
        </w:tc>
        <w:tc>
          <w:tcPr>
            <w:tcW w:w="3042" w:type="dxa"/>
            <w:tcBorders>
              <w:top w:val="single" w:sz="4" w:space="0" w:color="4BACC6"/>
              <w:left w:val="single" w:sz="4" w:space="0" w:color="4BACC6"/>
              <w:bottom w:val="single" w:sz="4" w:space="0" w:color="4BACC6"/>
              <w:right w:val="single" w:sz="4" w:space="0" w:color="4BACC6"/>
            </w:tcBorders>
            <w:shd w:val="clear" w:color="auto" w:fill="auto"/>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中德双元制合作项目</w:t>
            </w:r>
          </w:p>
        </w:tc>
        <w:tc>
          <w:tcPr>
            <w:tcW w:w="1688" w:type="dxa"/>
            <w:tcBorders>
              <w:top w:val="single" w:sz="4" w:space="0" w:color="4BACC6"/>
              <w:left w:val="single" w:sz="4" w:space="0" w:color="4BACC6"/>
              <w:bottom w:val="single" w:sz="4" w:space="0" w:color="4BACC6"/>
              <w:right w:val="single" w:sz="4" w:space="0" w:color="4BACC6"/>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72</w:t>
            </w:r>
          </w:p>
        </w:tc>
      </w:tr>
      <w:tr>
        <w:trPr>
          <w:trHeight w:val="1057"/>
        </w:trPr>
        <w:tc>
          <w:tcPr>
            <w:tcW w:w="2182"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淮安市高职校</w:t>
            </w:r>
          </w:p>
        </w:tc>
        <w:tc>
          <w:tcPr>
            <w:tcW w:w="3042"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NIIT计算机应用技术五年制高职国际合作专班</w:t>
            </w:r>
          </w:p>
        </w:tc>
        <w:tc>
          <w:tcPr>
            <w:tcW w:w="1688"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123</w:t>
            </w:r>
          </w:p>
        </w:tc>
      </w:tr>
      <w:tr>
        <w:trPr>
          <w:trHeight w:val="505"/>
        </w:trPr>
        <w:tc>
          <w:tcPr>
            <w:tcW w:w="2182" w:type="dxa"/>
            <w:tcBorders>
              <w:top w:val="single" w:sz="4" w:space="0" w:color="4BACC6"/>
              <w:left w:val="single" w:sz="4" w:space="0" w:color="4BACC6"/>
              <w:bottom w:val="single" w:sz="4" w:space="0" w:color="4BACC6"/>
              <w:right w:val="single" w:sz="4" w:space="0" w:color="4BACC6"/>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生物工程学校</w:t>
            </w:r>
          </w:p>
        </w:tc>
        <w:tc>
          <w:tcPr>
            <w:tcW w:w="3042" w:type="dxa"/>
            <w:tcBorders>
              <w:top w:val="single" w:sz="4" w:space="0" w:color="4BACC6"/>
              <w:left w:val="single" w:sz="4" w:space="0" w:color="4BACC6"/>
              <w:bottom w:val="single" w:sz="4" w:space="0" w:color="4BACC6"/>
              <w:right w:val="single" w:sz="4" w:space="0" w:color="4BACC6"/>
            </w:tcBorders>
            <w:shd w:val="clear" w:color="auto" w:fill="auto"/>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NIIT</w:t>
            </w:r>
          </w:p>
        </w:tc>
        <w:tc>
          <w:tcPr>
            <w:tcW w:w="1688" w:type="dxa"/>
            <w:tcBorders>
              <w:top w:val="single" w:sz="4" w:space="0" w:color="4BACC6"/>
              <w:left w:val="single" w:sz="4" w:space="0" w:color="4BACC6"/>
              <w:bottom w:val="single" w:sz="4" w:space="0" w:color="4BACC6"/>
              <w:right w:val="single" w:sz="4" w:space="0" w:color="4BACC6"/>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132</w:t>
            </w:r>
          </w:p>
        </w:tc>
      </w:tr>
      <w:tr>
        <w:trPr>
          <w:trHeight w:val="526"/>
        </w:trPr>
        <w:tc>
          <w:tcPr>
            <w:tcW w:w="2182"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工业中专</w:t>
            </w:r>
          </w:p>
        </w:tc>
        <w:tc>
          <w:tcPr>
            <w:tcW w:w="3042"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中德诺浩汽车学院</w:t>
            </w:r>
          </w:p>
        </w:tc>
        <w:tc>
          <w:tcPr>
            <w:tcW w:w="1688"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161</w:t>
            </w:r>
          </w:p>
        </w:tc>
      </w:tr>
      <w:tr>
        <w:trPr>
          <w:trHeight w:val="1057"/>
        </w:trPr>
        <w:tc>
          <w:tcPr>
            <w:tcW w:w="2182" w:type="dxa"/>
            <w:tcBorders>
              <w:top w:val="single" w:sz="4" w:space="0" w:color="4BACC6"/>
              <w:left w:val="single" w:sz="4" w:space="0" w:color="4BACC6"/>
              <w:bottom w:val="single" w:sz="4" w:space="0" w:color="4BACC6"/>
              <w:right w:val="single" w:sz="4" w:space="0" w:color="4BACC6"/>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淮阴中专</w:t>
            </w:r>
          </w:p>
        </w:tc>
        <w:tc>
          <w:tcPr>
            <w:tcW w:w="3042" w:type="dxa"/>
            <w:tcBorders>
              <w:top w:val="single" w:sz="4" w:space="0" w:color="4BACC6"/>
              <w:left w:val="single" w:sz="4" w:space="0" w:color="4BACC6"/>
              <w:bottom w:val="single" w:sz="4" w:space="0" w:color="4BACC6"/>
              <w:right w:val="single" w:sz="4" w:space="0" w:color="4BACC6"/>
            </w:tcBorders>
            <w:shd w:val="clear" w:color="auto" w:fill="auto"/>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中德诺浩紧缺人才技能型汽车人才培养项目</w:t>
            </w:r>
          </w:p>
        </w:tc>
        <w:tc>
          <w:tcPr>
            <w:tcW w:w="1688" w:type="dxa"/>
            <w:tcBorders>
              <w:top w:val="single" w:sz="4" w:space="0" w:color="4BACC6"/>
              <w:left w:val="single" w:sz="4" w:space="0" w:color="4BACC6"/>
              <w:bottom w:val="single" w:sz="4" w:space="0" w:color="4BACC6"/>
              <w:right w:val="single" w:sz="4" w:space="0" w:color="4BACC6"/>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153</w:t>
            </w:r>
          </w:p>
        </w:tc>
      </w:tr>
      <w:tr>
        <w:trPr>
          <w:trHeight w:val="1057"/>
        </w:trPr>
        <w:tc>
          <w:tcPr>
            <w:tcW w:w="2182"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洪泽中专</w:t>
            </w:r>
          </w:p>
        </w:tc>
        <w:tc>
          <w:tcPr>
            <w:tcW w:w="3042"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中德诺浩紧缺技能型汽车人才培养项目</w:t>
            </w:r>
          </w:p>
        </w:tc>
        <w:tc>
          <w:tcPr>
            <w:tcW w:w="1688"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120</w:t>
            </w:r>
          </w:p>
        </w:tc>
      </w:tr>
      <w:tr>
        <w:trPr>
          <w:trHeight w:val="1057"/>
        </w:trPr>
        <w:tc>
          <w:tcPr>
            <w:tcW w:w="2182" w:type="dxa"/>
            <w:tcBorders>
              <w:top w:val="single" w:sz="4" w:space="0" w:color="4BACC6"/>
              <w:left w:val="single" w:sz="4" w:space="0" w:color="4BACC6"/>
              <w:bottom w:val="single" w:sz="4" w:space="0" w:color="4BACC6"/>
              <w:right w:val="single" w:sz="4" w:space="0" w:color="4BACC6"/>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洪泽中专</w:t>
            </w:r>
          </w:p>
        </w:tc>
        <w:tc>
          <w:tcPr>
            <w:tcW w:w="3042" w:type="dxa"/>
            <w:tcBorders>
              <w:top w:val="single" w:sz="4" w:space="0" w:color="4BACC6"/>
              <w:left w:val="single" w:sz="4" w:space="0" w:color="4BACC6"/>
              <w:bottom w:val="single" w:sz="4" w:space="0" w:color="4BACC6"/>
              <w:right w:val="single" w:sz="4" w:space="0" w:color="4BACC6"/>
            </w:tcBorders>
            <w:shd w:val="clear" w:color="auto" w:fill="auto"/>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DS Solidwords中国授权CSWA考试中心</w:t>
            </w:r>
          </w:p>
        </w:tc>
        <w:tc>
          <w:tcPr>
            <w:tcW w:w="1688" w:type="dxa"/>
            <w:tcBorders>
              <w:top w:val="single" w:sz="4" w:space="0" w:color="4BACC6"/>
              <w:left w:val="single" w:sz="4" w:space="0" w:color="4BACC6"/>
              <w:bottom w:val="single" w:sz="4" w:space="0" w:color="4BACC6"/>
              <w:right w:val="single" w:sz="4" w:space="0" w:color="4BACC6"/>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145</w:t>
            </w:r>
          </w:p>
        </w:tc>
      </w:tr>
      <w:tr>
        <w:trPr>
          <w:trHeight w:val="529"/>
        </w:trPr>
        <w:tc>
          <w:tcPr>
            <w:tcW w:w="2182"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盱眙中专</w:t>
            </w:r>
          </w:p>
        </w:tc>
        <w:tc>
          <w:tcPr>
            <w:tcW w:w="3042"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法国达索公司</w:t>
            </w:r>
          </w:p>
        </w:tc>
        <w:tc>
          <w:tcPr>
            <w:tcW w:w="1688" w:type="dxa"/>
            <w:tcBorders>
              <w:top w:val="single" w:sz="4" w:space="0" w:color="4BACC6"/>
              <w:left w:val="single" w:sz="4" w:space="0" w:color="4BACC6"/>
              <w:bottom w:val="single" w:sz="4" w:space="0" w:color="4BACC6"/>
              <w:right w:val="single" w:sz="4" w:space="0" w:color="4BACC6"/>
            </w:tcBorders>
            <w:shd w:val="clear" w:color="auto" w:fill="DBEEF3"/>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38</w:t>
            </w:r>
          </w:p>
        </w:tc>
      </w:tr>
    </w:tbl>
    <w:p>
      <w:pPr>
        <w:adjustRightInd w:val="0"/>
        <w:snapToGrid w:val="0"/>
        <w:spacing w:line="500" w:lineRule="exact"/>
        <w:ind w:firstLineChars="200" w:firstLine="560"/>
        <w:jc w:val="center"/>
        <w:rPr>
          <w:rFonts w:ascii="黑体" w:eastAsia="黑体"/>
          <w:sz w:val="28"/>
          <w:szCs w:val="28"/>
        </w:rPr>
      </w:pPr>
      <w:r>
        <w:rPr>
          <w:rFonts w:ascii="黑体" w:eastAsia="黑体"/>
          <w:sz w:val="28"/>
          <w:szCs w:val="28"/>
        </w:rPr>
        <w:t>典型</w:t>
      </w:r>
      <w:r>
        <w:rPr>
          <w:rFonts w:ascii="黑体" w:eastAsia="黑体" w:hint="eastAsia"/>
          <w:sz w:val="28"/>
          <w:szCs w:val="28"/>
        </w:rPr>
        <w:t>案例</w:t>
      </w:r>
      <w:r>
        <w:rPr>
          <w:rFonts w:ascii="黑体" w:eastAsia="黑体"/>
          <w:sz w:val="28"/>
          <w:szCs w:val="28"/>
        </w:rPr>
        <w:t>14</w:t>
      </w:r>
      <w:r>
        <w:rPr>
          <w:rFonts w:ascii="黑体" w:eastAsia="黑体" w:hint="eastAsia"/>
          <w:sz w:val="28"/>
          <w:szCs w:val="28"/>
        </w:rPr>
        <w:t>：生物工程校积极推进NIIT国际合作项目</w:t>
      </w:r>
    </w:p>
    <w:p>
      <w:pPr>
        <w:adjustRightInd w:val="0"/>
        <w:snapToGrid w:val="0"/>
        <w:spacing w:line="500" w:lineRule="exact"/>
        <w:ind w:firstLineChars="200" w:firstLine="560"/>
        <w:jc w:val="left"/>
        <w:rPr>
          <w:rFonts w:ascii="方正楷体_GBK" w:eastAsia="方正楷体_GBK" w:hint="eastAsia"/>
          <w:kern w:val="0"/>
          <w:sz w:val="28"/>
          <w:szCs w:val="28"/>
        </w:rPr>
      </w:pPr>
      <w:r>
        <w:rPr>
          <w:rFonts w:ascii="方正楷体_GBK" w:eastAsia="方正楷体_GBK" w:hint="eastAsia"/>
          <w:kern w:val="0"/>
          <w:sz w:val="28"/>
          <w:szCs w:val="28"/>
        </w:rPr>
        <w:t>淮安生物工程高等职业学校作为江苏联合职业技术学院分院之一，自2006年起，按照省教育厅、联合学院的统一部署，积极参与实施NIIT中外合作办学项目。学校召开专题会议，研究制定了“积极推进、稳步发展、不断探索、重在成效”的工作方针，严格执行《江苏联合职业技术学院NIIT合作项目工作规程（试行）》，使NIIT项目在我校顺利实施，持续至今，从未间断。“软件技术”专业是联院系统苏北唯一的中外合作办学（NIIT）专业,在本年度继续与印度国家信息技术学院（简称NIIT）开展NIIT合作项目，2020年9月至2021年8月学校共有33人次参加NIIT模块培训，并取得国际软件行业资格证书。期间，NIIT派遣多名专业外教来校任教。</w:t>
      </w:r>
    </w:p>
    <w:p>
      <w:pPr>
        <w:jc w:val="center"/>
        <w:rPr>
          <w:rFonts w:ascii="Times New Roman" w:eastAsia="仿宋_GB2312" w:cs="仿宋_GB2312" w:hAnsi="Times New Roman"/>
          <w:sz w:val="24"/>
        </w:rPr>
      </w:pPr>
      <w:r>
        <w:rPr>
          <w:rFonts w:ascii="方正楷体_GBK" w:eastAsia="方正楷体_GBK" w:hint="eastAsia"/>
          <w:sz w:val="32"/>
          <w:szCs w:val="32"/>
        </w:rPr>
        <w:drawing>
          <wp:anchor distT="0" distB="0" distL="114300" distR="114300" simplePos="0" relativeHeight="117" behindDoc="0" locked="0" layoutInCell="1" hidden="0" allowOverlap="1">
            <wp:simplePos x="0" y="0"/>
            <wp:positionH relativeFrom="column">
              <wp:posOffset>207070</wp:posOffset>
            </wp:positionH>
            <wp:positionV relativeFrom="paragraph">
              <wp:posOffset>57911</wp:posOffset>
            </wp:positionV>
            <wp:extent cx="2652395" cy="1986914"/>
            <wp:effectExtent l="0" t="0" r="0" b="0"/>
            <wp:wrapTopAndBottom/>
            <wp:docPr id="72" name="图片 42" descr="M:\48-专家讲座\4.jpg"/>
            <wp:cNvGraphicFramePr>
              <a:graphicFrameLocks noChangeAspect="1"/>
            </wp:cNvGraphicFramePr>
            <a:graphic>
              <a:graphicData uri="http://schemas.openxmlformats.org/drawingml/2006/picture">
                <pic:pic>
                  <pic:nvPicPr>
                    <pic:cNvPr id="74" name="图片 42 74"/>
                    <pic:cNvPicPr/>
                  </pic:nvPicPr>
                  <pic:blipFill>
                    <a:blip r:embed="rId44"/>
                    <a:stretch>
                      <a:fillRect/>
                    </a:stretch>
                  </pic:blipFill>
                  <pic:spPr>
                    <a:xfrm rot="0">
                      <a:off x="0" y="0"/>
                      <a:ext cx="2652395" cy="1986914"/>
                    </a:xfrm>
                    <a:prstGeom prst="rect"/>
                    <a:noFill/>
                    <a:ln w="9525" cmpd="sng" cap="flat">
                      <a:noFill/>
                      <a:prstDash val="solid"/>
                      <a:round/>
                    </a:ln>
                  </pic:spPr>
                </pic:pic>
              </a:graphicData>
            </a:graphic>
          </wp:anchor>
        </w:drawing>
      </w:r>
      <w:r>
        <w:rPr>
          <w:rFonts w:ascii="方正楷体_GBK" w:eastAsia="方正楷体_GBK" w:hint="eastAsia"/>
          <w:sz w:val="32"/>
          <w:szCs w:val="32"/>
        </w:rPr>
        <w:drawing>
          <wp:anchor distT="0" distB="0" distL="114300" distR="114300" simplePos="0" relativeHeight="115" behindDoc="0" locked="0" layoutInCell="1" hidden="0" allowOverlap="1">
            <wp:simplePos x="0" y="0"/>
            <wp:positionH relativeFrom="column">
              <wp:posOffset>3025189</wp:posOffset>
            </wp:positionH>
            <wp:positionV relativeFrom="paragraph">
              <wp:posOffset>76960</wp:posOffset>
            </wp:positionV>
            <wp:extent cx="2578734" cy="1958340"/>
            <wp:effectExtent l="0" t="0" r="0" b="0"/>
            <wp:wrapTopAndBottom/>
            <wp:docPr id="75" name="图片 43"/>
            <wp:cNvGraphicFramePr>
              <a:graphicFrameLocks noChangeAspect="1"/>
            </wp:cNvGraphicFramePr>
            <a:graphic>
              <a:graphicData uri="http://schemas.openxmlformats.org/drawingml/2006/picture">
                <pic:pic>
                  <pic:nvPicPr>
                    <pic:cNvPr id="77" name="图片 43 77"/>
                    <pic:cNvPicPr/>
                  </pic:nvPicPr>
                  <pic:blipFill>
                    <a:blip r:embed="rId45"/>
                    <a:stretch>
                      <a:fillRect/>
                    </a:stretch>
                  </pic:blipFill>
                  <pic:spPr>
                    <a:xfrm rot="0">
                      <a:off x="0" y="0"/>
                      <a:ext cx="2578734" cy="1958340"/>
                    </a:xfrm>
                    <a:prstGeom prst="rect"/>
                    <a:noFill/>
                    <a:ln w="9525" cmpd="sng" cap="flat">
                      <a:noFill/>
                      <a:prstDash val="solid"/>
                      <a:miter/>
                    </a:ln>
                  </pic:spPr>
                </pic:pic>
              </a:graphicData>
            </a:graphic>
          </wp:anchor>
        </w:drawing>
      </w:r>
      <w:r>
        <w:rPr>
          <w:rFonts w:ascii="Times New Roman" w:eastAsia="仿宋_GB2312" w:cs="仿宋_GB2312" w:hAnsi="Times New Roman" w:hint="eastAsia"/>
          <w:sz w:val="24"/>
        </w:rPr>
        <w:t>图6-</w:t>
      </w:r>
      <w:r>
        <w:rPr>
          <w:rFonts w:ascii="Times New Roman" w:eastAsia="仿宋_GB2312" w:cs="仿宋_GB2312" w:hAnsi="Times New Roman"/>
          <w:sz w:val="24"/>
        </w:rPr>
        <w:t>1</w:t>
      </w:r>
      <w:r>
        <w:rPr>
          <w:rFonts w:ascii="Times New Roman" w:eastAsia="仿宋_GB2312" w:cs="仿宋_GB2312" w:hAnsi="Times New Roman" w:hint="eastAsia"/>
          <w:sz w:val="24"/>
        </w:rPr>
        <w:t>：NIIT项目实施</w:t>
      </w:r>
    </w:p>
    <w:p>
      <w:pPr>
        <w:pStyle w:val="23"/>
        <w:spacing w:beforeAutospacing="0" w:afterAutospacing="0" w:line="500" w:lineRule="exact"/>
        <w:ind w:firstLineChars="200" w:firstLine="640"/>
        <w:outlineLvl w:val="0"/>
        <w:rPr>
          <w:rFonts w:ascii="黑体" w:eastAsia="黑体"/>
          <w:sz w:val="32"/>
          <w:szCs w:val="32"/>
          <w:shd w:val="clear" w:color="auto" w:fill="FFFFFF"/>
        </w:rPr>
      </w:pPr>
      <w:bookmarkStart w:id="130" w:name="_Toc26240"/>
      <w:bookmarkStart w:id="131" w:name="_Toc17980"/>
      <w:bookmarkStart w:id="132" w:name="_Toc84605553"/>
    </w:p>
    <w:p>
      <w:pPr>
        <w:pStyle w:val="23"/>
        <w:spacing w:beforeAutospacing="0" w:afterAutospacing="0" w:line="500" w:lineRule="exact"/>
        <w:ind w:firstLineChars="200" w:firstLine="640"/>
        <w:outlineLvl w:val="0"/>
        <w:rPr>
          <w:rFonts w:ascii="黑体" w:eastAsia="黑体"/>
          <w:sz w:val="32"/>
          <w:szCs w:val="32"/>
          <w:shd w:val="clear" w:color="auto" w:fill="FFFFFF"/>
        </w:rPr>
      </w:pPr>
      <w:r>
        <w:rPr>
          <w:rFonts w:ascii="黑体" w:eastAsia="黑体"/>
          <w:sz w:val="32"/>
          <w:szCs w:val="32"/>
          <w:shd w:val="clear" w:color="auto" w:fill="FFFFFF"/>
        </w:rPr>
        <w:t>7.</w:t>
      </w:r>
      <w:r>
        <w:rPr>
          <w:rFonts w:ascii="黑体" w:eastAsia="黑体" w:hint="eastAsia"/>
          <w:sz w:val="32"/>
          <w:szCs w:val="32"/>
          <w:shd w:val="clear" w:color="auto" w:fill="FFFFFF"/>
        </w:rPr>
        <w:t>政府履责</w:t>
      </w:r>
      <w:bookmarkEnd w:id="116"/>
      <w:bookmarkEnd w:id="130"/>
      <w:bookmarkEnd w:id="131"/>
      <w:bookmarkEnd w:id="132"/>
    </w:p>
    <w:p>
      <w:pPr>
        <w:pStyle w:val="23"/>
        <w:spacing w:beforeAutospacing="0" w:afterAutospacing="0"/>
        <w:ind w:firstLine="640"/>
        <w:outlineLvl w:val="1"/>
        <w:rPr>
          <w:rFonts w:ascii="仿宋_GB2312" w:eastAsia="仿宋_GB2312" w:cs="仿宋_GB2312"/>
          <w:b/>
          <w:bCs/>
          <w:sz w:val="32"/>
          <w:szCs w:val="32"/>
          <w:shd w:val="clear" w:color="auto" w:fill="FFFFFF"/>
        </w:rPr>
      </w:pPr>
      <w:bookmarkStart w:id="133" w:name="_Toc175"/>
      <w:bookmarkStart w:id="134" w:name="_Toc24832"/>
      <w:bookmarkStart w:id="135" w:name="_Toc84605554"/>
      <w:r>
        <w:rPr>
          <w:rFonts w:ascii="仿宋_GB2312" w:eastAsia="仿宋_GB2312" w:cs="仿宋_GB2312"/>
          <w:b/>
          <w:bCs/>
          <w:sz w:val="32"/>
          <w:szCs w:val="32"/>
          <w:shd w:val="clear" w:color="auto" w:fill="FFFFFF"/>
        </w:rPr>
        <w:t>7</w:t>
      </w:r>
      <w:r>
        <w:rPr>
          <w:rFonts w:ascii="仿宋_GB2312" w:eastAsia="仿宋_GB2312" w:cs="仿宋_GB2312" w:hint="eastAsia"/>
          <w:b/>
          <w:bCs/>
          <w:sz w:val="32"/>
          <w:szCs w:val="32"/>
          <w:shd w:val="clear" w:color="auto" w:fill="FFFFFF"/>
        </w:rPr>
        <w:t>.1政策</w:t>
      </w:r>
      <w:bookmarkEnd w:id="133"/>
      <w:bookmarkEnd w:id="134"/>
      <w:r>
        <w:rPr>
          <w:rFonts w:ascii="仿宋_GB2312" w:eastAsia="仿宋_GB2312" w:cs="仿宋_GB2312" w:hint="eastAsia"/>
          <w:b/>
          <w:bCs/>
          <w:sz w:val="32"/>
          <w:szCs w:val="32"/>
          <w:shd w:val="clear" w:color="auto" w:fill="FFFFFF"/>
        </w:rPr>
        <w:t>落实</w:t>
      </w:r>
      <w:bookmarkEnd w:id="135"/>
    </w:p>
    <w:p>
      <w:pPr>
        <w:widowControl/>
        <w:ind w:firstLineChars="250" w:firstLine="800"/>
        <w:rPr>
          <w:rFonts w:ascii="仿宋_GB2312" w:eastAsia="仿宋_GB2312" w:cs="仿宋_GB2312" w:hint="eastAsia"/>
          <w:bCs/>
          <w:sz w:val="32"/>
          <w:szCs w:val="32"/>
          <w:lang w:val="en-US" w:eastAsia="zh-CN" w:bidi="ar-SA"/>
        </w:rPr>
      </w:pPr>
      <w:r>
        <w:rPr>
          <w:rFonts w:ascii="仿宋_GB2312" w:eastAsia="仿宋_GB2312" w:cs="仿宋_GB2312" w:hint="eastAsia"/>
          <w:bCs/>
          <w:sz w:val="32"/>
          <w:szCs w:val="32"/>
          <w:lang w:val="en-US" w:eastAsia="zh-CN" w:bidi="ar-SA"/>
        </w:rPr>
        <w:t>提高技术技能人才地位。《“淮安市333产业人才” 集聚行动方案（试行）》将技术技能人才纳入人才招引范围，引进年薪不低于18万元的专业技术或高技能人才，按年薪的25%给予人才一次性补贴。《关于加快人才集聚引领长三角北部现代化中心城市建设的实施意见》提出，聚力引进技术技能人才，对A、B、C类技术技能人才分别给予60万、40万元、20万元奖补。市政府《关于进一步推进全市高技能人才培养的实施意见》，每两年选拔5名高技能人才单列评为“市有突出贡献的中青年专家”，压实职业院校培训目标，市财政每年按不少于300万元用于高技能人才培训补贴，大幅提高补贴标准，明确职业院校教师承担高技能人才培养期间产生的劳务费、课时费不纳入绩效工资管理范围。</w:t>
      </w:r>
    </w:p>
    <w:p>
      <w:pPr>
        <w:ind w:firstLine="640"/>
        <w:rPr>
          <w:rFonts w:ascii="仿宋_GB2312" w:eastAsia="仿宋_GB2312" w:cs="仿宋_GB2312" w:hint="eastAsia"/>
          <w:bCs/>
          <w:sz w:val="32"/>
          <w:szCs w:val="32"/>
        </w:rPr>
      </w:pPr>
      <w:r>
        <w:rPr>
          <w:rFonts w:ascii="仿宋_GB2312" w:eastAsia="仿宋_GB2312" w:cs="仿宋_GB2312" w:hint="eastAsia"/>
          <w:bCs/>
          <w:sz w:val="32"/>
          <w:szCs w:val="32"/>
        </w:rPr>
        <w:t>持续推动职教高质量发展。</w:t>
      </w:r>
      <w:r>
        <w:rPr>
          <w:rFonts w:ascii="仿宋_GB2312" w:eastAsia="仿宋_GB2312" w:cs="仿宋_GB2312" w:hint="eastAsia"/>
          <w:bCs/>
          <w:sz w:val="32"/>
          <w:szCs w:val="32"/>
          <w:lang w:val="en-US" w:eastAsia="zh-CN" w:bidi="ar-SA"/>
        </w:rPr>
        <w:t>市考核办制定《2021年度在淮大中专院校服务高质量跨越发展考核指标计分办法》（淮考通</w:t>
      </w:r>
      <w:r>
        <w:rPr>
          <w:rFonts w:ascii="仿宋_GB2312" w:eastAsia="仿宋_GB2312" w:cs="仿宋_GB2312" w:hint="eastAsia"/>
          <w:bCs/>
          <w:sz w:val="32"/>
          <w:szCs w:val="32"/>
          <w:lang w:bidi="ar-SA"/>
        </w:rPr>
        <w:t>〔202</w:t>
      </w:r>
      <w:r>
        <w:rPr>
          <w:rFonts w:ascii="仿宋_GB2312" w:eastAsia="仿宋_GB2312" w:cs="仿宋_GB2312" w:hint="eastAsia"/>
          <w:bCs/>
          <w:sz w:val="32"/>
          <w:szCs w:val="32"/>
          <w:lang w:val="en-US" w:eastAsia="zh-CN" w:bidi="ar-SA"/>
        </w:rPr>
        <w:t>1</w:t>
      </w:r>
      <w:r>
        <w:rPr>
          <w:rFonts w:ascii="仿宋_GB2312" w:eastAsia="仿宋_GB2312" w:cs="仿宋_GB2312" w:hint="eastAsia"/>
          <w:bCs/>
          <w:sz w:val="32"/>
          <w:szCs w:val="32"/>
          <w:lang w:bidi="ar-SA"/>
        </w:rPr>
        <w:t>〕</w:t>
      </w:r>
      <w:r>
        <w:rPr>
          <w:rFonts w:ascii="仿宋_GB2312" w:eastAsia="仿宋_GB2312" w:cs="仿宋_GB2312" w:hint="eastAsia"/>
          <w:bCs/>
          <w:sz w:val="32"/>
          <w:szCs w:val="32"/>
          <w:lang w:val="en-US" w:eastAsia="zh-CN" w:bidi="ar-SA"/>
        </w:rPr>
        <w:t>4</w:t>
      </w:r>
      <w:r>
        <w:rPr>
          <w:rFonts w:ascii="仿宋_GB2312" w:eastAsia="仿宋_GB2312" w:cs="仿宋_GB2312" w:hint="eastAsia"/>
          <w:bCs/>
          <w:sz w:val="32"/>
          <w:szCs w:val="32"/>
          <w:lang w:bidi="ar-SA"/>
        </w:rPr>
        <w:t>号</w:t>
      </w:r>
      <w:r>
        <w:rPr>
          <w:rFonts w:ascii="仿宋_GB2312" w:eastAsia="仿宋_GB2312" w:cs="仿宋_GB2312" w:hint="eastAsia"/>
          <w:bCs/>
          <w:sz w:val="32"/>
          <w:szCs w:val="32"/>
          <w:lang w:eastAsia="zh-CN" w:bidi="ar-SA"/>
        </w:rPr>
        <w:t>），</w:t>
      </w:r>
      <w:r>
        <w:rPr>
          <w:rFonts w:ascii="仿宋_GB2312" w:eastAsia="仿宋_GB2312" w:cs="仿宋_GB2312" w:hint="eastAsia"/>
          <w:bCs/>
          <w:sz w:val="32"/>
          <w:szCs w:val="32"/>
          <w:lang w:val="en-US" w:eastAsia="zh-CN" w:bidi="ar-SA"/>
        </w:rPr>
        <w:t>从2021年起，对在大中专院校科技成果转化、横向服务收入、技术合同成交金额等校企深度合作项目进行考核、排名。市教育局</w:t>
      </w:r>
      <w:r>
        <w:rPr>
          <w:rFonts w:ascii="仿宋_GB2312" w:eastAsia="仿宋_GB2312" w:cs="仿宋_GB2312" w:hint="eastAsia"/>
          <w:bCs/>
          <w:sz w:val="32"/>
          <w:szCs w:val="32"/>
        </w:rPr>
        <w:t>印发《淮安市中等职业学校高质量发展考核办法》，将职业教育优质资源建设情况纳入市高质量发展考核指标，开展全市中职学校高质量发展考核，使市直、县区中职校有了统一考核、评价平台，初步形成了各类各级职业学校比学赶帮超的局面。</w:t>
      </w:r>
    </w:p>
    <w:p>
      <w:pPr>
        <w:pStyle w:val="18"/>
        <w:ind w:leftChars="0" w:left="0" w:firstLineChars="200" w:firstLine="640"/>
        <w:rPr>
          <w:rFonts w:ascii="仿宋_GB2312" w:eastAsia="仿宋_GB2312" w:cs="仿宋_GB2312" w:hint="eastAsia"/>
          <w:bCs/>
          <w:sz w:val="32"/>
          <w:szCs w:val="32"/>
        </w:rPr>
      </w:pPr>
      <w:r>
        <w:rPr>
          <w:rFonts w:ascii="仿宋_GB2312" w:eastAsia="仿宋_GB2312" w:cs="仿宋_GB2312" w:hint="eastAsia"/>
          <w:bCs/>
          <w:sz w:val="32"/>
          <w:szCs w:val="32"/>
          <w:lang w:val="en-US" w:eastAsia="zh-CN"/>
        </w:rPr>
        <w:t>加大企业职工教育培训奖补力度，将职工教育经费支出在纳税扣除时应扣尽扣。全市企业2019年、2020年职工教育教育经费实际税前扣除为6521万元、5966万元。</w:t>
      </w:r>
    </w:p>
    <w:p>
      <w:pPr>
        <w:pStyle w:val="23"/>
        <w:spacing w:beforeAutospacing="0" w:afterAutospacing="0"/>
        <w:ind w:firstLine="640"/>
        <w:outlineLvl w:val="1"/>
        <w:rPr>
          <w:rFonts w:ascii="仿宋_GB2312" w:eastAsia="仿宋_GB2312" w:cs="仿宋_GB2312"/>
          <w:b/>
          <w:bCs/>
          <w:sz w:val="32"/>
          <w:szCs w:val="32"/>
          <w:shd w:val="clear" w:color="auto" w:fill="FFFFFF"/>
        </w:rPr>
      </w:pPr>
      <w:bookmarkStart w:id="136" w:name="_Toc11692"/>
      <w:bookmarkStart w:id="137" w:name="_Toc84605555"/>
      <w:bookmarkStart w:id="138" w:name="_Toc19142"/>
      <w:r>
        <w:rPr>
          <w:rFonts w:ascii="仿宋_GB2312" w:eastAsia="仿宋_GB2312" w:cs="仿宋_GB2312"/>
          <w:b/>
          <w:bCs/>
          <w:kern w:val="2"/>
          <w:sz w:val="32"/>
          <w:szCs w:val="32"/>
        </w:rPr>
        <w:t>7</w:t>
      </w:r>
      <w:r>
        <w:rPr>
          <w:rFonts w:ascii="仿宋_GB2312" w:eastAsia="仿宋_GB2312" w:cs="仿宋_GB2312" w:hint="eastAsia"/>
          <w:b/>
          <w:bCs/>
          <w:kern w:val="2"/>
          <w:sz w:val="32"/>
          <w:szCs w:val="32"/>
        </w:rPr>
        <w:t>.2经费保障</w:t>
      </w:r>
      <w:bookmarkEnd w:id="136"/>
      <w:bookmarkEnd w:id="137"/>
      <w:bookmarkEnd w:id="138"/>
    </w:p>
    <w:p>
      <w:pPr>
        <w:ind w:firstLineChars="200" w:firstLine="640"/>
        <w:jc w:val="left"/>
        <w:rPr>
          <w:rFonts w:ascii="仿宋_GB2312" w:eastAsia="仿宋_GB2312" w:cs="仿宋_GB2312"/>
          <w:bCs/>
          <w:sz w:val="32"/>
          <w:szCs w:val="32"/>
        </w:rPr>
      </w:pPr>
      <w:r>
        <w:rPr>
          <w:rFonts w:ascii="仿宋_GB2312" w:eastAsia="仿宋_GB2312" w:cs="仿宋_GB2312" w:hint="eastAsia"/>
          <w:bCs/>
          <w:sz w:val="32"/>
          <w:szCs w:val="32"/>
        </w:rPr>
        <w:t>提高财政拨款水平。市教育局、财政局联合印发《关于进一步健全各类教育生均公用经费财政拨款制度的通知》，市县两级政府积极落实“</w:t>
      </w:r>
      <w:r>
        <w:rPr>
          <w:rFonts w:ascii="仿宋_GB2312" w:eastAsia="仿宋_GB2312" w:cs="仿宋_GB2312" w:hint="eastAsia"/>
          <w:sz w:val="32"/>
          <w:szCs w:val="32"/>
          <w:shd w:val="clear" w:color="auto" w:fill="FFFFFF"/>
        </w:rPr>
        <w:t>公办中等职业学校年生均财政拨款基本标准6000元（含免学费补助），其中生均公用经费拨款基本标准不低于1</w:t>
      </w:r>
      <w:r>
        <w:rPr>
          <w:rFonts w:ascii="仿宋_GB2312" w:eastAsia="仿宋_GB2312" w:cs="仿宋_GB2312" w:hint="eastAsia"/>
          <w:sz w:val="32"/>
          <w:szCs w:val="32"/>
          <w:shd w:val="clear" w:color="auto" w:fill="FFFFFF"/>
          <w:lang w:val="en-US" w:eastAsia="zh-CN"/>
        </w:rPr>
        <w:t>5</w:t>
      </w:r>
      <w:r>
        <w:rPr>
          <w:rFonts w:ascii="仿宋_GB2312" w:eastAsia="仿宋_GB2312" w:cs="仿宋_GB2312" w:hint="eastAsia"/>
          <w:sz w:val="32"/>
          <w:szCs w:val="32"/>
          <w:shd w:val="clear" w:color="auto" w:fill="FFFFFF"/>
        </w:rPr>
        <w:t>00元”标准，公办中等职业生均财政</w:t>
      </w:r>
      <w:r>
        <w:rPr>
          <w:rFonts w:ascii="仿宋_GB2312" w:eastAsia="仿宋_GB2312" w:cs="仿宋_GB2312" w:hint="eastAsia"/>
          <w:bCs/>
          <w:sz w:val="32"/>
          <w:szCs w:val="32"/>
        </w:rPr>
        <w:t>经费均高于6000元标准。2</w:t>
      </w:r>
      <w:r>
        <w:rPr>
          <w:rFonts w:ascii="仿宋_GB2312" w:eastAsia="仿宋_GB2312" w:cs="仿宋_GB2312"/>
          <w:bCs/>
          <w:sz w:val="32"/>
          <w:szCs w:val="32"/>
        </w:rPr>
        <w:t>021</w:t>
      </w:r>
      <w:r>
        <w:rPr>
          <w:rFonts w:ascii="仿宋_GB2312" w:eastAsia="仿宋_GB2312" w:cs="仿宋_GB2312" w:hint="eastAsia"/>
          <w:bCs/>
          <w:sz w:val="32"/>
          <w:szCs w:val="32"/>
        </w:rPr>
        <w:t>年度，年生均财政拨款额为1</w:t>
      </w:r>
      <w:r>
        <w:rPr>
          <w:rFonts w:ascii="仿宋_GB2312" w:eastAsia="仿宋_GB2312" w:cs="仿宋_GB2312"/>
          <w:bCs/>
          <w:sz w:val="32"/>
          <w:szCs w:val="32"/>
        </w:rPr>
        <w:t>9170.64</w:t>
      </w:r>
      <w:r>
        <w:rPr>
          <w:rFonts w:ascii="仿宋_GB2312" w:eastAsia="仿宋_GB2312" w:cs="仿宋_GB2312" w:hint="eastAsia"/>
          <w:bCs/>
          <w:sz w:val="32"/>
          <w:szCs w:val="32"/>
        </w:rPr>
        <w:t>元，相对2</w:t>
      </w:r>
      <w:r>
        <w:rPr>
          <w:rFonts w:ascii="仿宋_GB2312" w:eastAsia="仿宋_GB2312" w:cs="仿宋_GB2312"/>
          <w:bCs/>
          <w:sz w:val="32"/>
          <w:szCs w:val="32"/>
        </w:rPr>
        <w:t>020</w:t>
      </w:r>
      <w:r>
        <w:rPr>
          <w:rFonts w:ascii="仿宋_GB2312" w:eastAsia="仿宋_GB2312" w:cs="仿宋_GB2312" w:hint="eastAsia"/>
          <w:bCs/>
          <w:sz w:val="32"/>
          <w:szCs w:val="32"/>
        </w:rPr>
        <w:t>年度略有增长</w:t>
      </w:r>
      <w:r>
        <w:rPr>
          <w:rFonts w:ascii="仿宋_GB2312" w:eastAsia="仿宋_GB2312" w:cs="仿宋_GB2312"/>
          <w:bCs/>
          <w:sz w:val="32"/>
          <w:szCs w:val="32"/>
        </w:rPr>
        <w:t>，</w:t>
      </w:r>
      <w:r>
        <w:rPr>
          <w:rFonts w:ascii="仿宋_GB2312" w:eastAsia="仿宋_GB2312" w:cs="仿宋_GB2312" w:hint="eastAsia"/>
          <w:bCs/>
          <w:sz w:val="32"/>
          <w:szCs w:val="32"/>
        </w:rPr>
        <w:t>落实助学金0</w:t>
      </w:r>
      <w:r>
        <w:rPr>
          <w:rFonts w:ascii="仿宋_GB2312" w:eastAsia="仿宋_GB2312" w:cs="仿宋_GB2312"/>
          <w:bCs/>
          <w:sz w:val="32"/>
          <w:szCs w:val="32"/>
        </w:rPr>
        <w:t>.837</w:t>
      </w:r>
      <w:r>
        <w:rPr>
          <w:rFonts w:ascii="仿宋_GB2312" w:eastAsia="仿宋_GB2312" w:cs="仿宋_GB2312" w:hint="eastAsia"/>
          <w:bCs/>
          <w:sz w:val="32"/>
          <w:szCs w:val="32"/>
        </w:rPr>
        <w:t>亿元</w:t>
      </w:r>
      <w:r>
        <w:rPr>
          <w:rFonts w:ascii="仿宋_GB2312" w:eastAsia="仿宋_GB2312" w:cs="仿宋_GB2312"/>
          <w:bCs/>
          <w:sz w:val="32"/>
          <w:szCs w:val="32"/>
        </w:rPr>
        <w:t>，</w:t>
      </w:r>
      <w:r>
        <w:rPr>
          <w:rFonts w:ascii="仿宋_GB2312" w:eastAsia="仿宋_GB2312" w:cs="仿宋_GB2312" w:hint="eastAsia"/>
          <w:bCs/>
          <w:sz w:val="32"/>
          <w:szCs w:val="32"/>
        </w:rPr>
        <w:t>项目投入达9</w:t>
      </w:r>
      <w:r>
        <w:rPr>
          <w:rFonts w:ascii="仿宋_GB2312" w:eastAsia="仿宋_GB2312" w:cs="仿宋_GB2312"/>
          <w:bCs/>
          <w:sz w:val="32"/>
          <w:szCs w:val="32"/>
        </w:rPr>
        <w:t>293.338</w:t>
      </w:r>
      <w:r>
        <w:rPr>
          <w:rFonts w:ascii="仿宋_GB2312" w:eastAsia="仿宋_GB2312" w:cs="仿宋_GB2312" w:hint="eastAsia"/>
          <w:bCs/>
          <w:sz w:val="32"/>
          <w:szCs w:val="32"/>
        </w:rPr>
        <w:t>万元。</w:t>
      </w:r>
    </w:p>
    <w:p>
      <w:pPr>
        <w:pStyle w:val="18"/>
        <w:jc w:val="center"/>
        <w:rPr>
          <w:rFonts w:eastAsia="仿宋_GB2312" w:cs="仿宋_GB2312"/>
        </w:rPr>
      </w:pPr>
      <w:r>
        <w:rPr>
          <w:rFonts w:ascii="仿宋_GB2312" w:eastAsia="仿宋_GB2312" w:cs="仿宋_GB2312"/>
          <w:sz w:val="32"/>
          <w:szCs w:val="32"/>
          <w:shd w:val="clear" w:color="auto" w:fill="FFFFFF"/>
        </w:rPr>
        <w:drawing>
          <wp:inline distT="0" distB="0" distL="114300" distR="114300">
            <wp:extent cx="4351020" cy="2485390"/>
            <wp:effectExtent l="0" t="0" r="0" b="0"/>
            <wp:docPr id="78" name="图表 44"/>
            <wp:cNvGraphicFramePr>
              <a:graphicFrameLocks noChangeAspect="0"/>
            </wp:cNvGraphicFramePr>
            <a:graphic>
              <a:graphicData uri="http://schemas.openxmlformats.org/drawingml/2006/chart">
                <c:chart xmlns:c="http://schemas.openxmlformats.org/drawingml/2006/chart" r:id="rId46"/>
              </a:graphicData>
            </a:graphic>
          </wp:inline>
        </w:drawing>
      </w:r>
      <w:r>
        <w:rPr>
          <w:rFonts w:hint="eastAsia"/>
        </w:rPr>
        <w:t xml:space="preserve"> </w:t>
      </w:r>
      <w:r>
        <w:t xml:space="preserve">                </w:t>
      </w:r>
    </w:p>
    <w:p>
      <w:pPr>
        <w:pStyle w:val="18"/>
        <w:jc w:val="center"/>
        <w:rPr>
          <w:rFonts w:ascii="仿宋_GB2312" w:eastAsia="仿宋_GB2312" w:cs="仿宋_GB2312" w:hint="eastAsia"/>
          <w:sz w:val="21"/>
          <w:szCs w:val="21"/>
        </w:rPr>
      </w:pPr>
      <w:r>
        <w:rPr>
          <w:rFonts w:ascii="仿宋_GB2312" w:eastAsia="仿宋_GB2312" w:cs="仿宋_GB2312" w:hint="eastAsia"/>
          <w:sz w:val="21"/>
          <w:szCs w:val="21"/>
        </w:rPr>
        <w:t>图7-1:2020、2021年度生均拨款统计图</w:t>
      </w:r>
    </w:p>
    <w:p>
      <w:pPr>
        <w:ind w:firstLine="640"/>
        <w:rPr>
          <w:rFonts w:ascii="仿宋_GB2312" w:eastAsia="仿宋_GB2312" w:cs="仿宋_GB2312" w:hint="eastAsia"/>
          <w:bCs/>
          <w:sz w:val="32"/>
          <w:szCs w:val="32"/>
        </w:rPr>
      </w:pPr>
      <w:r>
        <w:rPr>
          <w:rFonts w:ascii="仿宋_GB2312" w:eastAsia="仿宋_GB2312" w:cs="仿宋_GB2312" w:hint="eastAsia"/>
          <w:sz w:val="32"/>
          <w:szCs w:val="32"/>
          <w:lang w:val="en-US" w:eastAsia="zh-CN" w:bidi="ar-SA"/>
        </w:rPr>
        <w:t>市政府出台《关于印发促进大学生来淮留淮就业创业若干措施的通知》，根据职业院校实际留淮就业人数，按500元/人标准给予补助，用于开展就业双选、实践实习等支出；市政府《关于加强企业用工服务保障工作的若干措施（试行）》拟对订单班按每班1万元补助职业学校，对混合所有制院校和二级学院每年分别予以30万、10万补贴，用于师资培训、实训基地建设和培训资源开发等。</w:t>
      </w:r>
    </w:p>
    <w:p/>
    <w:p>
      <w:pPr>
        <w:pStyle w:val="23"/>
        <w:spacing w:beforeAutospacing="0" w:afterAutospacing="0" w:line="500" w:lineRule="exact"/>
        <w:ind w:firstLineChars="200" w:firstLine="640"/>
        <w:outlineLvl w:val="0"/>
        <w:rPr>
          <w:rFonts w:ascii="黑体" w:eastAsia="黑体"/>
          <w:sz w:val="32"/>
          <w:szCs w:val="32"/>
          <w:shd w:val="clear" w:color="auto" w:fill="FFFFFF"/>
        </w:rPr>
      </w:pPr>
      <w:bookmarkStart w:id="139" w:name="_Toc84605556"/>
      <w:r>
        <w:rPr>
          <w:rFonts w:ascii="黑体" w:eastAsia="黑体" w:hint="eastAsia"/>
          <w:sz w:val="32"/>
          <w:szCs w:val="32"/>
          <w:shd w:val="clear" w:color="auto" w:fill="FFFFFF"/>
        </w:rPr>
        <w:t>8.挑战与展望</w:t>
      </w:r>
      <w:bookmarkEnd w:id="139"/>
    </w:p>
    <w:p>
      <w:pPr>
        <w:pStyle w:val="23"/>
        <w:spacing w:beforeAutospacing="0" w:afterAutospacing="0"/>
        <w:ind w:firstLine="640"/>
        <w:outlineLvl w:val="1"/>
        <w:rPr>
          <w:rFonts w:ascii="仿宋_GB2312" w:eastAsia="仿宋_GB2312" w:cs="仿宋_GB2312"/>
          <w:b/>
          <w:bCs/>
          <w:kern w:val="2"/>
          <w:sz w:val="32"/>
          <w:szCs w:val="32"/>
        </w:rPr>
      </w:pPr>
      <w:bookmarkStart w:id="140" w:name="_Toc84605557"/>
      <w:r>
        <w:rPr>
          <w:rFonts w:ascii="仿宋_GB2312" w:eastAsia="仿宋_GB2312" w:cs="仿宋_GB2312" w:hint="eastAsia"/>
          <w:b/>
          <w:bCs/>
          <w:kern w:val="2"/>
          <w:sz w:val="32"/>
          <w:szCs w:val="32"/>
        </w:rPr>
        <w:t>8.1 面临挑战</w:t>
      </w:r>
      <w:bookmarkEnd w:id="140"/>
    </w:p>
    <w:p>
      <w:pPr>
        <w:adjustRightInd w:val="0"/>
        <w:snapToGrid w:val="0"/>
        <w:spacing w:line="360" w:lineRule="auto"/>
        <w:ind w:firstLineChars="200" w:firstLine="640"/>
        <w:rPr>
          <w:rFonts w:ascii="仿宋_GB2312" w:eastAsia="仿宋_GB2312" w:hint="eastAsia"/>
          <w:sz w:val="32"/>
          <w:szCs w:val="32"/>
        </w:rPr>
      </w:pPr>
      <w:r>
        <w:rPr>
          <w:rFonts w:ascii="仿宋_GB2312" w:eastAsia="仿宋_GB2312" w:hint="eastAsia"/>
          <w:sz w:val="32"/>
          <w:szCs w:val="32"/>
        </w:rPr>
        <w:t>需要更</w:t>
      </w:r>
      <w:r>
        <w:rPr>
          <w:rFonts w:ascii="仿宋_GB2312" w:eastAsia="仿宋_GB2312" w:hint="eastAsia"/>
          <w:sz w:val="32"/>
          <w:szCs w:val="32"/>
          <w:lang w:val="en-US" w:eastAsia="zh-CN"/>
        </w:rPr>
        <w:t>高的专业适应性</w:t>
      </w:r>
      <w:r>
        <w:rPr>
          <w:rFonts w:ascii="仿宋_GB2312" w:eastAsia="仿宋_GB2312" w:hint="eastAsia"/>
          <w:sz w:val="32"/>
          <w:szCs w:val="32"/>
        </w:rPr>
        <w:t>。突出职教类型特色，深入贯彻全国职教大会精神、中办国办《关于推动职业教育高质量发展的意见》要求，加快新兴专业建设，立足地方经济需求和产业实际，建设急需专业，人才链与产业链、专业链对接的精准程度要有待提高。</w:t>
      </w:r>
    </w:p>
    <w:p>
      <w:pPr>
        <w:adjustRightInd w:val="0"/>
        <w:snapToGrid w:val="0"/>
        <w:spacing w:line="360" w:lineRule="auto"/>
        <w:ind w:firstLineChars="200" w:firstLine="640"/>
        <w:rPr>
          <w:rFonts w:ascii="仿宋_GB2312" w:eastAsia="仿宋_GB2312" w:hint="eastAsia"/>
          <w:sz w:val="32"/>
          <w:szCs w:val="32"/>
        </w:rPr>
      </w:pPr>
      <w:r>
        <w:rPr>
          <w:rFonts w:ascii="仿宋_GB2312" w:eastAsia="仿宋_GB2312" w:hint="eastAsia"/>
          <w:sz w:val="32"/>
          <w:szCs w:val="32"/>
        </w:rPr>
        <w:t>需要更</w:t>
      </w:r>
      <w:r>
        <w:rPr>
          <w:rFonts w:ascii="仿宋_GB2312" w:eastAsia="仿宋_GB2312" w:hint="eastAsia"/>
          <w:sz w:val="32"/>
          <w:szCs w:val="32"/>
          <w:lang w:val="en-US" w:eastAsia="zh-CN"/>
        </w:rPr>
        <w:t>强</w:t>
      </w:r>
      <w:r>
        <w:rPr>
          <w:rFonts w:ascii="仿宋_GB2312" w:eastAsia="仿宋_GB2312" w:hint="eastAsia"/>
          <w:sz w:val="32"/>
          <w:szCs w:val="32"/>
        </w:rPr>
        <w:t>的</w:t>
      </w:r>
      <w:r>
        <w:rPr>
          <w:rFonts w:ascii="仿宋_GB2312" w:eastAsia="仿宋_GB2312" w:hint="eastAsia"/>
          <w:sz w:val="32"/>
          <w:szCs w:val="32"/>
          <w:lang w:val="en-US" w:eastAsia="zh-CN"/>
        </w:rPr>
        <w:t>学生成长培养能力</w:t>
      </w:r>
      <w:r>
        <w:rPr>
          <w:rFonts w:ascii="仿宋_GB2312" w:eastAsia="仿宋_GB2312" w:hint="eastAsia"/>
          <w:sz w:val="32"/>
          <w:szCs w:val="32"/>
        </w:rPr>
        <w:t>。学生的心理健康教育、法制教育、安全教育都需要进一步强化，学校的风险防控体系有待进一步建立完善。班主任队伍尤其是新班主任的带班能力、班级建设水平还需要整体提高。思政教育在专业理论、专业实训中的融入性还有待提高，思政课堂的评价机制还未完全建立。</w:t>
      </w:r>
    </w:p>
    <w:p>
      <w:pPr>
        <w:adjustRightInd w:val="0"/>
        <w:snapToGrid w:val="0"/>
        <w:spacing w:line="360" w:lineRule="auto"/>
        <w:ind w:firstLineChars="200" w:firstLine="640"/>
        <w:rPr>
          <w:rFonts w:ascii="仿宋_GB2312" w:eastAsia="仿宋_GB2312" w:hint="eastAsia"/>
          <w:sz w:val="32"/>
          <w:szCs w:val="32"/>
        </w:rPr>
      </w:pPr>
      <w:r>
        <w:rPr>
          <w:rFonts w:ascii="仿宋_GB2312" w:eastAsia="仿宋_GB2312" w:hint="eastAsia"/>
          <w:sz w:val="32"/>
          <w:szCs w:val="32"/>
        </w:rPr>
        <w:t>需要更</w:t>
      </w:r>
      <w:r>
        <w:rPr>
          <w:rFonts w:ascii="仿宋_GB2312" w:eastAsia="仿宋_GB2312" w:hint="eastAsia"/>
          <w:sz w:val="32"/>
          <w:szCs w:val="32"/>
          <w:lang w:val="en-US" w:eastAsia="zh-CN"/>
        </w:rPr>
        <w:t>深</w:t>
      </w:r>
      <w:r>
        <w:rPr>
          <w:rFonts w:ascii="仿宋_GB2312" w:eastAsia="仿宋_GB2312" w:hint="eastAsia"/>
          <w:sz w:val="32"/>
          <w:szCs w:val="32"/>
        </w:rPr>
        <w:t>的校企合作。校企合作是为了更好的服务区域产业经济发展，目前的校企合作较多停留在基础的人力资源提供上，</w:t>
      </w:r>
      <w:r>
        <w:rPr>
          <w:rFonts w:ascii="仿宋_GB2312" w:eastAsia="仿宋_GB2312" w:hint="eastAsia"/>
          <w:sz w:val="32"/>
          <w:szCs w:val="32"/>
          <w:lang w:eastAsia="zh-CN"/>
        </w:rPr>
        <w:t>在深度开展技术研发、管理创新的不多，</w:t>
      </w:r>
      <w:r>
        <w:rPr>
          <w:rFonts w:ascii="仿宋_GB2312" w:eastAsia="仿宋_GB2312" w:hint="eastAsia"/>
          <w:sz w:val="32"/>
          <w:szCs w:val="32"/>
        </w:rPr>
        <w:t>在教师到企业进修、学生到企业顶岗实习、企业技术人员到学校兼职并参与专业建设方面，需要政府相关职能部门更好的做好统筹协调工作。</w:t>
      </w:r>
    </w:p>
    <w:p>
      <w:pPr>
        <w:pStyle w:val="23"/>
        <w:spacing w:beforeAutospacing="0" w:afterAutospacing="0"/>
        <w:ind w:firstLine="640"/>
        <w:outlineLvl w:val="1"/>
        <w:rPr>
          <w:rFonts w:ascii="仿宋_GB2312" w:eastAsia="仿宋_GB2312" w:cs="仿宋_GB2312" w:hint="eastAsia"/>
          <w:b/>
          <w:bCs/>
          <w:kern w:val="2"/>
          <w:sz w:val="32"/>
          <w:szCs w:val="32"/>
        </w:rPr>
      </w:pPr>
      <w:bookmarkStart w:id="141" w:name="_Toc84605558"/>
      <w:r>
        <w:rPr>
          <w:rFonts w:ascii="仿宋_GB2312" w:eastAsia="仿宋_GB2312" w:cs="仿宋_GB2312" w:hint="eastAsia"/>
          <w:b/>
          <w:bCs/>
          <w:kern w:val="2"/>
          <w:sz w:val="32"/>
          <w:szCs w:val="32"/>
        </w:rPr>
        <w:t>8.2 未来展望</w:t>
      </w:r>
      <w:bookmarkEnd w:id="141"/>
    </w:p>
    <w:p>
      <w:pPr>
        <w:ind w:firstLineChars="200" w:firstLine="640"/>
        <w:rPr>
          <w:rFonts w:ascii="仿宋_GB2312" w:eastAsia="仿宋_GB2312" w:hint="eastAsia"/>
          <w:sz w:val="32"/>
          <w:szCs w:val="32"/>
        </w:rPr>
      </w:pPr>
      <w:r>
        <w:rPr>
          <w:rFonts w:ascii="仿宋_GB2312" w:eastAsia="仿宋_GB2312" w:hint="eastAsia"/>
          <w:sz w:val="32"/>
          <w:szCs w:val="32"/>
        </w:rPr>
        <w:t>提升专业产业适配度。适应“333”产业体系，优化专业布局，持续对学校专业开展星级评估，争取三星级以上专业比例达75%以上。制定专业优先发展目录，引导学校贴近经济发展需要开设高新专业、急需专业。</w:t>
      </w:r>
    </w:p>
    <w:p>
      <w:pPr>
        <w:ind w:firstLineChars="200" w:firstLine="640"/>
        <w:rPr>
          <w:rFonts w:ascii="仿宋_GB2312" w:eastAsia="仿宋_GB2312" w:hint="eastAsia"/>
          <w:sz w:val="32"/>
          <w:szCs w:val="32"/>
        </w:rPr>
      </w:pPr>
      <w:r>
        <w:rPr>
          <w:rFonts w:ascii="仿宋_GB2312" w:eastAsia="仿宋_GB2312" w:hint="eastAsia"/>
          <w:sz w:val="32"/>
          <w:szCs w:val="32"/>
        </w:rPr>
        <w:t>做大做好职业培训。适应就业优先的宏观要求和高技能人才的紧缺需求，积极履行职业学校社会培训的法定职责，进一步做大做好职业培训，提升企业职工技能和适应岗位能力，服务乡村振兴建设。</w:t>
      </w:r>
    </w:p>
    <w:p>
      <w:pPr>
        <w:ind w:firstLineChars="200" w:firstLine="640"/>
        <w:rPr>
          <w:rFonts w:ascii="仿宋_GB2312" w:eastAsia="仿宋_GB2312" w:hint="eastAsia"/>
          <w:sz w:val="32"/>
          <w:szCs w:val="32"/>
        </w:rPr>
      </w:pPr>
      <w:r>
        <w:rPr>
          <w:rFonts w:ascii="仿宋_GB2312" w:eastAsia="仿宋_GB2312" w:hint="eastAsia"/>
          <w:sz w:val="32"/>
          <w:szCs w:val="32"/>
        </w:rPr>
        <w:t xml:space="preserve">建立健全综合评价体系。把握学情实际，落实德技并修要求，加强中职学生养成教育，优化实习实训考核办法，系统设计三年（五年）评价指标，把好学生入口和出口关。  </w:t>
      </w:r>
    </w:p>
    <w:p>
      <w:pPr>
        <w:ind w:firstLineChars="200" w:firstLine="640"/>
        <w:rPr>
          <w:rFonts w:ascii="仿宋_GB2312" w:eastAsia="仿宋_GB2312" w:hint="eastAsia"/>
          <w:sz w:val="32"/>
          <w:szCs w:val="32"/>
        </w:rPr>
      </w:pPr>
      <w:r>
        <w:rPr>
          <w:rFonts w:ascii="仿宋_GB2312" w:eastAsia="仿宋_GB2312" w:hint="eastAsia"/>
          <w:sz w:val="32"/>
          <w:szCs w:val="32"/>
        </w:rPr>
        <w:t>强化中职学生思政教育。引导广大教师落实“三全”育人要求，深入开展思想道德、职业素养、养成教育，引导专业课教师响应育训结合要求，积极主动开展社会职业培训。发挥职业学校独特优势，创新开展劳动教育，并为中小学校劳动教育提供师资、课程和设施支持。</w:t>
      </w:r>
    </w:p>
    <w:p>
      <w:pPr>
        <w:ind w:firstLineChars="200" w:firstLine="640"/>
        <w:rPr>
          <w:rFonts w:ascii="仿宋_GB2312" w:eastAsia="仿宋_GB2312" w:hint="eastAsia"/>
          <w:sz w:val="32"/>
          <w:szCs w:val="32"/>
        </w:rPr>
      </w:pPr>
      <w:r>
        <w:rPr>
          <w:rFonts w:ascii="仿宋_GB2312" w:eastAsia="仿宋_GB2312" w:hint="eastAsia"/>
          <w:sz w:val="32"/>
          <w:szCs w:val="32"/>
        </w:rPr>
        <w:t>完善现代职教体系建设。厚实学生文化基础，做好中高职衔接特别是加深与驻淮高职院校“3+3”合作，做精对口高考、增加五年制专转本工作力度，让更多的学生得到学习深造的机会。</w:t>
      </w:r>
    </w:p>
    <w:p>
      <w:pPr>
        <w:rPr>
          <w:rFonts w:hint="eastAsia"/>
        </w:rPr>
      </w:pPr>
    </w:p>
    <w:sectPr>
      <w:footerReference w:type="default" r:id="rId9"/>
      <w:pgSz w:w="11906" w:h="16838"/>
      <w:pgMar w:top="1418" w:right="1418" w:bottom="1418" w:left="1418" w:header="851" w:footer="964" w:gutter="0"/>
      <w:pgNumType w:start="1"/>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2000000000000000000"/>
    <w:charset w:val="86"/>
    <w:family w:val="script"/>
    <w:pitch w:val="variable"/>
    <w:sig w:usb0="A00002BF" w:usb1="184F6CFA" w:usb2="00000012" w:usb3="00000000" w:csb0="00040001" w:csb1="00000000"/>
  </w:font>
  <w:font w:name="华文行楷">
    <w:altName w:val="微软雅黑"/>
    <w:panose1 w:val="02010800040101010101"/>
    <w:charset w:val="86"/>
    <w:family w:val="auto"/>
    <w:pitch w:val="variable"/>
    <w:sig w:usb0="00000000" w:usb1="00000000" w:usb2="00000000" w:usb3="00000000" w:csb0="00040000" w:csb1="00000000"/>
  </w:font>
  <w:font w:name="仿宋_GB2312">
    <w:altName w:val="仿宋"/>
    <w:panose1 w:val="02010609030101010101"/>
    <w:charset w:val="86"/>
    <w:family w:val="auto"/>
    <w:pitch w:val="variable"/>
    <w:sig w:usb0="00000000" w:usb1="00000000" w:usb2="00000000" w:usb3="00000000" w:csb0="00040000" w:csb1="00000000"/>
  </w:font>
  <w:font w:name="黑体">
    <w:panose1 w:val="02010609060101010101"/>
    <w:charset w:val="86"/>
    <w:family w:val="auto"/>
    <w:pitch w:val="variable"/>
    <w:sig w:usb0="800002BF" w:usb1="38CF7CFA" w:usb2="00000016" w:usb3="00000000" w:csb0="00040001" w:csb1="00000000"/>
  </w:font>
  <w:font w:name="楷体_GB2312">
    <w:altName w:val="楷体"/>
    <w:panose1 w:val="00000000000000000000"/>
    <w:charset w:val="86"/>
    <w:family w:val="modern"/>
    <w:pitch w:val="variable"/>
    <w:sig w:usb0="00000000" w:usb1="00000000" w:usb2="00000000" w:usb3="00000000" w:csb0="00040000" w:csb1="00000000"/>
  </w:font>
  <w:font w:name="方正楷体简体">
    <w:altName w:val="宋体"/>
    <w:panose1 w:val="03000509000000000000"/>
    <w:charset w:val="86"/>
    <w:family w:val="script"/>
    <w:pitch w:val="variable"/>
    <w:sig w:usb0="00000000" w:usb1="00000000" w:usb2="00000000" w:usb3="00000000" w:csb0="00040000" w:csb1="00000000"/>
  </w:font>
  <w:font w:name="Times New Roman">
    <w:panose1 w:val="02020603050405020304"/>
    <w:charset w:val="CC"/>
    <w:family w:val="roman"/>
    <w:pitch w:val="variable"/>
    <w:sig w:usb0="E0002EFF" w:usb1="C000785B" w:usb2="00000009" w:usb3="00000000" w:csb0="400001FF" w:csb1="FFFF0000"/>
  </w:font>
  <w:font w:name="宋体">
    <w:panose1 w:val="02010600030101010101"/>
    <w:charset w:val="7A"/>
    <w:family w:val="auto"/>
    <w:pitch w:val="variable"/>
    <w:sig w:usb0="00000003" w:usb1="288F0000" w:usb2="00000006" w:usb3="00000000" w:csb0="00040001" w:csb1="00000000"/>
  </w:font>
  <w:font w:name="方正仿宋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Arial">
    <w:altName w:val="DejaVu Sans"/>
    <w:panose1 w:val="020B0604020202020204"/>
    <w:charset w:val="01"/>
    <w:family w:val="swiss"/>
    <w:pitch w:val="variable"/>
    <w:sig w:usb0="E0002EFF" w:usb1="C000785B" w:usb2="00000009" w:usb3="00000000" w:csb0="400001FF" w:csb1="FFFF0000"/>
  </w:font>
  <w:font w:name="微软雅黑">
    <w:panose1 w:val="020B0503020204020204"/>
    <w:charset w:val="86"/>
    <w:family w:val="auto"/>
    <w:pitch w:val="variable"/>
    <w:sig w:usb0="80000287" w:usb1="2ACF3C50" w:usb2="00000016" w:usb3="00000000" w:csb0="0004001F" w:csb1="00000000"/>
  </w:font>
  <w:font w:name="仿宋">
    <w:panose1 w:val="02010609060101010101"/>
    <w:charset w:val="86"/>
    <w:family w:val="auto"/>
    <w:pitch w:val="variable"/>
    <w:sig w:usb0="800002BF" w:usb1="38CF7CFA" w:usb2="00000016" w:usb3="00000000" w:csb0="00040001" w:csb1="00000000"/>
  </w:font>
  <w:font w:name="Calibri">
    <w:altName w:val="Times New Roman"/>
    <w:panose1 w:val="020F0502020204030204"/>
    <w:charset w:val="00"/>
    <w:family w:val="swiss"/>
    <w:pitch w:val="variable"/>
    <w:sig w:usb0="E4002EFF" w:usb1="C000247B" w:usb2="00000009" w:usb3="00000000" w:csb0="200001FF" w:csb1="00000000"/>
  </w:font>
  <w:font w:name="sans-serif">
    <w:altName w:val="DejaVu Sans"/>
    <w:panose1 w:val="00000000000000000000"/>
    <w:charset w:val="00"/>
    <w:family w:val="auto"/>
    <w:pitch w:val="variable"/>
    <w:sig w:usb0="00000000" w:usb1="00000000" w:usb2="00000000" w:usb3="00000000" w:csb0="00000000" w:csb1="00000000"/>
  </w:font>
  <w:font w:name="Bookman Old Style">
    <w:altName w:val="DejaVu Sans"/>
    <w:panose1 w:val="00000000000000000000"/>
    <w:charset w:val="00"/>
    <w:family w:val="auto"/>
    <w:pitch w:val="variable"/>
    <w:sig w:usb0="00000000" w:usb1="00000000" w:usb2="00000000" w:usb3="00000000" w:csb0="00000000" w:csb1="00000000"/>
  </w:font>
  <w:font w:name="MingLiU">
    <w:altName w:val="宋体"/>
    <w:panose1 w:val="00000000000000000000"/>
    <w:charset w:val="00"/>
    <w:family w:val="auto"/>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jc w:val="center"/>
    </w:pPr>
  </w:p>
  <w:p>
    <w:pPr>
      <w:pStyle w:val="19"/>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framePr w:w="0" w:hRule="auto" w:wrap="around" w:vAnchor="text" w:hAnchor="margin" w:xAlign="center" w:y="1" w:anchorLock="0"/>
      <w:tabs>
        <w:tab w:val="center" w:pos="4153"/>
        <w:tab w:val="right" w:pos="8306"/>
      </w:tabs>
      <w:rPr>
        <w:rStyle w:val="25"/>
      </w:rPr>
    </w:pPr>
    <w:r>
      <w:rPr>
        <w:rStyle w:val="25"/>
      </w:rPr>
      <w:fldChar w:fldCharType="begin"/>
    </w:r>
    <w:r>
      <w:rPr>
        <w:rStyle w:val="25"/>
      </w:rPr>
      <w:instrText xml:space="preserve">PAGE  </w:instrText>
    </w:r>
    <w:r>
      <w:fldChar w:fldCharType="separate"/>
    </w:r>
    <w:r>
      <w:t xml:space="preserve"> </w:t>
    </w:r>
    <w:r>
      <w:fldChar w:fldCharType="end"/>
    </w:r>
  </w:p>
  <w:p>
    <w:pPr>
      <w:pStyle w:val="19"/>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jc w:val="center"/>
    </w:pPr>
  </w:p>
  <w:p>
    <w:pPr>
      <w:pStyle w:val="19"/>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jc w:val="both"/>
    </w:pPr>
    <w:r>
      <mc:AlternateContent>
        <mc:Choice Requires="wps">
          <w:drawing>
            <wp:anchor distT="0" distB="0" distL="114298" distR="114298" simplePos="0" relativeHeight="119" behindDoc="0" locked="0" layoutInCell="1" hidden="0" allowOverlap="1">
              <wp:simplePos x="0" y="0"/>
              <wp:positionH relativeFrom="margin">
                <wp:align>center</wp:align>
              </wp:positionH>
              <wp:positionV relativeFrom="paragraph">
                <wp:posOffset>95</wp:posOffset>
              </wp:positionV>
              <wp:extent cx="278765" cy="131558"/>
              <wp:effectExtent l="0" t="0" r="0" b="0"/>
              <wp:wrapNone/>
              <wp:docPr id="1" name="文本框 1"/>
              <wp:cNvGraphicFramePr>
                <a:graphicFrameLocks noChangeAspect="0"/>
              </wp:cNvGraphicFramePr>
              <a:graphic>
                <a:graphicData uri="http://schemas.microsoft.com/office/word/2010/wordprocessingShape">
                  <wps:wsp>
                    <wps:cNvSpPr/>
                    <wps:spPr>
                      <a:xfrm rot="0">
                        <a:off x="0" y="0"/>
                        <a:ext cx="278765" cy="131558"/>
                      </a:xfrm>
                      <a:prstGeom prst="rect"/>
                      <a:noFill/>
                      <a:ln w="9525" cmpd="sng" cap="flat">
                        <a:noFill/>
                        <a:prstDash val="solid"/>
                        <a:round/>
                      </a:ln>
                    </wps:spPr>
                    <wps:txbx id="2">
                      <w:txbxContent>
                        <w:p>
                          <w:pPr>
                            <w:pStyle w:val="19"/>
                            <w:tabs>
                              <w:tab w:val="center" w:pos="4153"/>
                              <w:tab w:val="right" w:pos="8306"/>
                            </w:tabs>
                          </w:pPr>
                          <w:r>
                            <w:fldChar w:fldCharType="begin"/>
                          </w:r>
                          <w:r>
                            <w:instrText xml:space="preserve"> PAGE  \* MERGEFORMAT </w:instrText>
                          </w:r>
                          <w:r>
                            <w:fldChar w:fldCharType="separate"/>
                          </w:r>
                          <w:r>
                            <w:t>48</w:t>
                          </w:r>
                          <w:r>
                            <w:fldChar w:fldCharType="end"/>
                          </w:r>
                        </w:p>
                      </w:txbxContent>
                    </wps:txbx>
                    <wps:bodyPr vert="horz" wrap="square" lIns="0" tIns="0" rIns="0" bIns="0" anchor="t" anchorCtr="0" upright="1">
                      <a:spAutoFit/>
                    </wps:bodyPr>
                  </wps:wsp>
                </a:graphicData>
              </a:graphic>
            </wp:anchor>
          </w:drawing>
        </mc:Choice>
        <mc:Fallback>
          <w:pict>
            <v:rect type="#_x0000_t1" id="文本框 1 3" o:spid="_x0000_s3" filled="f" stroked="f" style="position:absolute;margin-left:0.0pt;margin-top:0.0075072097pt;width:21.950006pt;height:10.358943pt;z-index:119;mso-position-horizontal:center;mso-position-horizontal-relative:margin;mso-position-vertical:absolute;mso-wrap-distance-left:8.999863pt;mso-wrap-distance-right:8.999863pt;mso-wrap-style:square;">
              <v:stroke color="#000000"/>
              <v:textbox id="885" inset="0mm,0mm,0mm,0mm" o:insetmode="custom" style="layout-flow:horizontal;v-text-anchor:top;mso-fit-shape-to-text:t;">
                <w:txbxContent>
                  <w:p>
                    <w:pPr>
                      <w:pStyle w:val="19"/>
                      <w:tabs>
                        <w:tab w:val="center" w:pos="4153"/>
                        <w:tab w:val="right" w:pos="8306"/>
                      </w:tabs>
                    </w:pPr>
                    <w:r>
                      <w:fldChar w:fldCharType="begin"/>
                    </w:r>
                    <w:r>
                      <w:instrText xml:space="preserve"> PAGE  \* MERGEFORMAT </w:instrText>
                    </w:r>
                    <w:r>
                      <w:fldChar w:fldCharType="separate"/>
                    </w:r>
                    <w:r>
                      <w:t>48</w:t>
                    </w:r>
                    <w:r>
                      <w:fldChar w:fldCharType="end"/>
                    </w:r>
                  </w:p>
                </w:txbxContent>
              </v:textbox>
            </v:rect>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pBdr>
        <w:top w:val="none" w:sz="0" w:space="0" w:color="auto"/>
        <w:left w:val="none" w:sz="0" w:space="0" w:color="auto"/>
        <w:bottom w:val="none" w:sz="0" w:space="0" w:color="auto"/>
        <w:right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pBdr>
        <w:top w:val="none" w:sz="0" w:space="0" w:color="auto"/>
        <w:left w:val="none" w:sz="0" w:space="0" w:color="auto"/>
        <w:bottom w:val="none" w:sz="0" w:space="0" w:color="auto"/>
        <w:right w:val="none" w:sz="0" w:space="0" w:color="auto"/>
      </w:pBdr>
      <w:tabs>
        <w:tab w:val="center" w:pos="4153"/>
        <w:tab w:val="right" w:pos="8306"/>
      </w:tabs>
    </w:pPr>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pBdr>
        <w:top w:val="none" w:sz="0" w:space="0" w:color="auto"/>
        <w:left w:val="none" w:sz="0" w:space="0" w:color="auto"/>
        <w:bottom w:val="none" w:sz="0" w:space="0" w:color="auto"/>
        <w:right w:val="none" w:sz="0" w:space="0" w:color="auto"/>
      </w:pBdr>
      <w:tabs>
        <w:tab w:val="center" w:pos="4153"/>
        <w:tab w:val="right" w:pos="8306"/>
      </w:tabs>
    </w:pPr>
  </w:p>
</w:hdr>
</file>

<file path=word/header4.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pBdr>
        <w:top w:val="none" w:sz="0" w:space="0" w:color="auto"/>
        <w:left w:val="none" w:sz="0" w:space="0" w:color="auto"/>
        <w:bottom w:val="none" w:sz="0" w:space="0" w:color="auto"/>
        <w:right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ˇˉ―‖’”…∶、。〃々〉》」』】〕〗！＂＇），．：；？］｀｜｝～￠"/>
  <w:compat>
    <w:spaceForUL/>
    <w:balanceSingleByteDoubleByteWidth/>
    <w:ulTrailSpace/>
    <w:doNotExpandShiftReturn/>
    <w:adjustLineHeightInTable/>
    <w:doNotUseIndentAsNumberingTabStop/>
    <w:useAltKinsokuLineBreakRules/>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Calibri" w:eastAsia="宋体" w:cs="Times New Roman" w:hAnsi="Calibri"/>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Balloon Text"/>
    <w:basedOn w:val="0"/>
    <w:rPr>
      <w:sz w:val="18"/>
      <w:szCs w:val="18"/>
    </w:rPr>
  </w:style>
  <w:style w:type="paragraph" w:styleId="16">
    <w:name w:val="annotation text"/>
    <w:basedOn w:val="0"/>
    <w:pPr>
      <w:jc w:val="left"/>
    </w:pPr>
  </w:style>
  <w:style w:type="paragraph" w:styleId="17">
    <w:name w:val="Body Text"/>
    <w:basedOn w:val="0"/>
    <w:pPr>
      <w:widowControl/>
      <w:spacing w:before="100" w:beforeAutospacing="1" w:after="100" w:afterAutospacing="1"/>
      <w:jc w:val="left"/>
    </w:pPr>
    <w:rPr>
      <w:rFonts w:ascii="宋体"/>
      <w:kern w:val="0"/>
      <w:sz w:val="24"/>
    </w:rPr>
  </w:style>
  <w:style w:type="paragraph" w:styleId="18">
    <w:name w:val="Body Text Indent"/>
    <w:basedOn w:val="0"/>
    <w:next w:val="0"/>
    <w:pPr>
      <w:spacing w:after="120"/>
      <w:ind w:leftChars="200" w:left="200"/>
    </w:pPr>
    <w:rPr>
      <w:rFonts w:ascii="Times New Roman" w:hAnsi="Times New Roman"/>
      <w:sz w:val="24"/>
    </w:rPr>
  </w:style>
  <w:style w:type="paragraph" w:styleId="19">
    <w:name w:val="footer"/>
    <w:basedOn w:val="0"/>
    <w:pPr>
      <w:tabs>
        <w:tab w:val="center" w:pos="4153"/>
        <w:tab w:val="right" w:pos="8306"/>
      </w:tabs>
      <w:snapToGrid w:val="0"/>
      <w:jc w:val="left"/>
    </w:pPr>
    <w:rPr>
      <w:sz w:val="18"/>
    </w:rPr>
  </w:style>
  <w:style w:type="paragraph" w:styleId="20">
    <w:name w:val="header"/>
    <w:basedOn w:val="0"/>
    <w:pPr>
      <w:pBdr>
        <w:top w:val="none" w:sz="0" w:space="0" w:color="auto"/>
        <w:left w:val="none" w:sz="0" w:space="0" w:color="auto"/>
        <w:bottom w:val="none" w:sz="0" w:space="0" w:color="auto"/>
        <w:right w:val="none" w:sz="0" w:space="0" w:color="auto"/>
      </w:pBdr>
      <w:tabs>
        <w:tab w:val="center" w:pos="4153"/>
        <w:tab w:val="right" w:pos="8306"/>
      </w:tabs>
      <w:snapToGrid w:val="0"/>
    </w:pPr>
    <w:rPr>
      <w:sz w:val="18"/>
    </w:rPr>
  </w:style>
  <w:style w:type="paragraph" w:styleId="21">
    <w:name w:val="toc 1"/>
    <w:basedOn w:val="0"/>
    <w:next w:val="0"/>
  </w:style>
  <w:style w:type="paragraph" w:styleId="22">
    <w:name w:val="toc 2"/>
    <w:basedOn w:val="0"/>
    <w:next w:val="0"/>
    <w:pPr>
      <w:ind w:left="420"/>
    </w:pPr>
  </w:style>
  <w:style w:type="paragraph" w:styleId="23">
    <w:name w:val="Normal (Web)"/>
    <w:basedOn w:val="0"/>
    <w:pPr>
      <w:spacing w:beforeAutospacing="1" w:afterAutospacing="1"/>
      <w:jc w:val="left"/>
    </w:pPr>
    <w:rPr>
      <w:kern w:val="0"/>
      <w:sz w:val="24"/>
    </w:rPr>
  </w:style>
  <w:style w:type="character" w:styleId="24">
    <w:name w:val="Strong"/>
    <w:basedOn w:val="10"/>
    <w:rPr>
      <w:rFonts w:cs="Times New Roman"/>
      <w:b/>
    </w:rPr>
  </w:style>
  <w:style w:type="character" w:styleId="25">
    <w:name w:val="page number"/>
    <w:basedOn w:val="10"/>
    <w:rPr>
      <w:rFonts w:cs="Times New Roman"/>
    </w:rPr>
  </w:style>
  <w:style w:type="paragraph" w:customStyle="1" w:styleId="26">
    <w:name w:val="Char Char Char Char"/>
    <w:basedOn w:val="0"/>
    <w:pPr>
      <w:spacing w:line="360" w:lineRule="auto"/>
      <w:ind w:firstLine="420"/>
    </w:pPr>
    <w:rPr>
      <w:rFonts w:ascii="Bookman Old Style" w:eastAsia="仿宋_GB2312" w:hAnsi="Bookman Old Style"/>
      <w:sz w:val="28"/>
      <w:szCs w:val="28"/>
    </w:rPr>
  </w:style>
  <w:style w:type="paragraph" w:customStyle="1" w:styleId="27">
    <w:name w:val="正文文本 (22)1"/>
    <w:basedOn w:val="0"/>
    <w:pPr>
      <w:shd w:val="clear" w:color="auto" w:fill="FFFFFF"/>
      <w:spacing w:before="420" w:line="624" w:lineRule="exact"/>
      <w:jc w:val="left"/>
    </w:pPr>
    <w:rPr>
      <w:rFonts w:ascii="MingLiU" w:eastAsia="MingLiU" w:cs="MingLiU" w:hAnsi="MingLiU"/>
      <w:kern w:val="0"/>
      <w:sz w:val="26"/>
      <w:szCs w:val="26"/>
    </w:rPr>
  </w:style>
  <w:style w:type="paragraph" w:customStyle="1" w:styleId="28">
    <w:name w:val="WPSOffice手动目录 1"/>
    <w:rPr>
      <w:rFonts w:ascii="Times New Roman" w:eastAsia="宋体" w:cs="Times New Roman" w:hAnsi="Times New Roman"/>
      <w:sz w:val="20"/>
      <w:szCs w:val="20"/>
      <w:lang w:val="en-US" w:eastAsia="zh-CN" w:bidi="ar-SA"/>
    </w:rPr>
  </w:style>
  <w:style w:type="paragraph" w:customStyle="1" w:styleId="29">
    <w:name w:val="WPSOffice手动目录 2"/>
    <w:pPr>
      <w:ind w:leftChars="200" w:left="200"/>
    </w:pPr>
    <w:rPr>
      <w:rFonts w:ascii="Times New Roman" w:eastAsia="宋体" w:cs="Times New Roman" w:hAnsi="Times New Roman"/>
      <w:sz w:val="20"/>
      <w:szCs w:val="20"/>
      <w:lang w:val="en-US" w:eastAsia="zh-CN" w:bidi="ar-SA"/>
    </w:rPr>
  </w:style>
  <w:style w:type="paragraph" w:customStyle="1" w:styleId="30">
    <w:name w:val="列表段落1"/>
    <w:basedOn w:val="0"/>
    <w:pPr>
      <w:ind w:firstLineChars="200" w:firstLine="200"/>
    </w:pPr>
  </w:style>
  <w:style w:type="character" w:customStyle="1" w:styleId="31">
    <w:name w:val="font11"/>
    <w:basedOn w:val="10"/>
    <w:rPr>
      <w:rFonts w:ascii="宋体" w:eastAsia="宋体" w:cs="宋体"/>
      <w:color w:val="000000"/>
      <w:sz w:val="21"/>
      <w:szCs w:val="21"/>
      <w:u w:val="none"/>
    </w:rPr>
  </w:style>
  <w:style w:type="character" w:customStyle="1" w:styleId="32">
    <w:name w:val="font21"/>
    <w:basedOn w:val="10"/>
    <w:rPr>
      <w:rFonts w:ascii="黑体" w:eastAsia="黑体" w:cs="黑体"/>
      <w:color w:val="000000"/>
      <w:sz w:val="21"/>
      <w:szCs w:val="21"/>
      <w:u w:val="none"/>
    </w:rPr>
  </w:style>
  <w:style w:type="character" w:customStyle="1" w:styleId="33">
    <w:name w:val="NormalCharacter"/>
  </w:style>
  <w:style w:type="character" w:customStyle="1" w:styleId="34">
    <w:name w:val="font01"/>
    <w:basedOn w:val="10"/>
    <w:rPr>
      <w:rFonts w:ascii="Times New Roman" w:cs="Times New Roman" w:hAnsi="Times New Roman"/>
      <w:color w:val="000000"/>
      <w:sz w:val="21"/>
      <w:szCs w:val="21"/>
      <w:u w:val="none"/>
    </w:rPr>
  </w:style>
  <w:style w:type="character" w:customStyle="1" w:styleId="35">
    <w:name w:val="fontstyle01"/>
    <w:basedOn w:val="10"/>
    <w:rPr>
      <w:rFonts w:ascii="宋体" w:eastAsia="宋体"/>
      <w:color w:val="000000"/>
      <w:sz w:val="28"/>
      <w:szCs w:val="28"/>
    </w:rPr>
  </w:style>
  <w:style w:type="paragraph" w:customStyle="1" w:styleId="36">
    <w:name w:val="样式2"/>
    <w:basedOn w:val="0"/>
    <w:pPr>
      <w:keepNext w:val="0"/>
      <w:keepLines w:val="0"/>
      <w:widowControl w:val="0"/>
      <w:tabs>
        <w:tab w:val="left" w:pos="377"/>
      </w:tabs>
      <w:snapToGrid w:val="0"/>
      <w:spacing w:before="100" w:beforeAutospacing="1" w:after="100" w:afterAutospacing="1" w:line="240" w:lineRule="auto"/>
      <w:ind w:firstLineChars="200" w:firstLine="200"/>
      <w:jc w:val="left"/>
      <w:outlineLvl w:val="1"/>
    </w:pPr>
    <w:rPr>
      <w:rFonts w:ascii="宋体" w:eastAsia="宋体" w:cs="Times New Roman"/>
      <w:b/>
      <w:kern w:val="0"/>
      <w:sz w:val="44"/>
      <w:szCs w:val="36"/>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4.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chart" Target="charts/chart1.xml"/><Relationship Id="rId11" Type="http://schemas.openxmlformats.org/officeDocument/2006/relationships/chart" Target="charts/chart2.xml"/><Relationship Id="rId12" Type="http://schemas.openxmlformats.org/officeDocument/2006/relationships/chart" Target="charts/chart3.xml"/><Relationship Id="rId13" Type="http://schemas.openxmlformats.org/officeDocument/2006/relationships/chart" Target="charts/chart4.xml"/><Relationship Id="rId14" Type="http://schemas.openxmlformats.org/officeDocument/2006/relationships/chart" Target="charts/chart5.xml"/><Relationship Id="rId15" Type="http://schemas.openxmlformats.org/officeDocument/2006/relationships/image" Target="media/10.jpeg"/><Relationship Id="rId16" Type="http://schemas.openxmlformats.org/officeDocument/2006/relationships/image" Target="media/13.jpeg"/><Relationship Id="rId17" Type="http://schemas.openxmlformats.org/officeDocument/2006/relationships/image" Target="media/16.png"/><Relationship Id="rId18" Type="http://schemas.openxmlformats.org/officeDocument/2006/relationships/image" Target="media/19.jpeg"/><Relationship Id="rId19" Type="http://schemas.openxmlformats.org/officeDocument/2006/relationships/chart" Target="charts/chart6.xml"/><Relationship Id="rId20" Type="http://schemas.openxmlformats.org/officeDocument/2006/relationships/image" Target="media/23.jpeg"/><Relationship Id="rId21" Type="http://schemas.openxmlformats.org/officeDocument/2006/relationships/chart" Target="charts/chart7.xml"/><Relationship Id="rId22" Type="http://schemas.openxmlformats.org/officeDocument/2006/relationships/chart" Target="charts/chart8.xml"/><Relationship Id="rId23" Type="http://schemas.openxmlformats.org/officeDocument/2006/relationships/chart" Target="charts/chart9.xml"/><Relationship Id="rId24" Type="http://schemas.openxmlformats.org/officeDocument/2006/relationships/chart" Target="charts/chart10.xml"/><Relationship Id="rId25" Type="http://schemas.openxmlformats.org/officeDocument/2006/relationships/chart" Target="charts/chart11.xml"/><Relationship Id="rId26" Type="http://schemas.openxmlformats.org/officeDocument/2006/relationships/chart" Target="charts/chart12.xml"/><Relationship Id="rId27" Type="http://schemas.openxmlformats.org/officeDocument/2006/relationships/image" Target="media/32.jpeg"/><Relationship Id="rId28" Type="http://schemas.openxmlformats.org/officeDocument/2006/relationships/image" Target="media/35.jpeg"/><Relationship Id="rId29" Type="http://schemas.openxmlformats.org/officeDocument/2006/relationships/image" Target="media/38.jpeg"/><Relationship Id="rId30" Type="http://schemas.openxmlformats.org/officeDocument/2006/relationships/image" Target="media/41.jpeg"/><Relationship Id="rId31" Type="http://schemas.openxmlformats.org/officeDocument/2006/relationships/image" Target="media/44.jpeg"/><Relationship Id="rId32" Type="http://schemas.openxmlformats.org/officeDocument/2006/relationships/chart" Target="charts/chart13.xml"/><Relationship Id="rId33" Type="http://schemas.openxmlformats.org/officeDocument/2006/relationships/chart" Target="charts/chart14.xml"/><Relationship Id="rId34" Type="http://schemas.openxmlformats.org/officeDocument/2006/relationships/chart" Target="charts/chart15.xml"/><Relationship Id="rId35" Type="http://schemas.openxmlformats.org/officeDocument/2006/relationships/image" Target="media/50.jpeg"/><Relationship Id="rId36" Type="http://schemas.openxmlformats.org/officeDocument/2006/relationships/image" Target="media/53.jpeg"/><Relationship Id="rId37" Type="http://schemas.openxmlformats.org/officeDocument/2006/relationships/image" Target="media/56.jpeg"/><Relationship Id="rId38" Type="http://schemas.openxmlformats.org/officeDocument/2006/relationships/image" Target="media/59.png"/><Relationship Id="rId39" Type="http://schemas.openxmlformats.org/officeDocument/2006/relationships/image" Target="media/62.png"/><Relationship Id="rId40" Type="http://schemas.openxmlformats.org/officeDocument/2006/relationships/chart" Target="charts/chart16.xml"/><Relationship Id="rId41" Type="http://schemas.openxmlformats.org/officeDocument/2006/relationships/chart" Target="charts/chart17.xml"/><Relationship Id="rId42" Type="http://schemas.openxmlformats.org/officeDocument/2006/relationships/image" Target="media/67.png"/><Relationship Id="rId43" Type="http://schemas.openxmlformats.org/officeDocument/2006/relationships/image" Target="media/70.png"/><Relationship Id="rId44" Type="http://schemas.openxmlformats.org/officeDocument/2006/relationships/image" Target="media/73.jpeg"/><Relationship Id="rId45" Type="http://schemas.openxmlformats.org/officeDocument/2006/relationships/image" Target="media/76.png"/><Relationship Id="rId46" Type="http://schemas.openxmlformats.org/officeDocument/2006/relationships/chart" Target="charts/chart18.xml"/><Relationship Id="rId47" Type="http://schemas.openxmlformats.org/officeDocument/2006/relationships/styles" Target="styles.xml"/><Relationship Id="rId48"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char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char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char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char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char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char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char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char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char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char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chart1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708"/>
          <c:y val="0.024903739"/>
          <c:w val="0.7410701"/>
          <c:h val="0.72475004"/>
        </c:manualLayout>
      </c:layout>
      <c:barChart>
        <c:barDir val="col"/>
        <c:grouping val="clustered"/>
        <c:varyColors val="0"/>
        <c:ser>
          <c:idx val="0"/>
          <c:order val="0"/>
          <c:tx>
            <c:strRef>
              <c:f>'Sheet1'!$B$1</c:f>
              <c:strCache>
                <c:ptCount val="1"/>
                <c:pt idx="0">
                  <c:v>2019-2020学年</c:v>
                </c:pt>
              </c:strCache>
            </c:strRef>
          </c:tx>
          <c:spPr>
            <a:solidFill>
              <a:srgbClr val="4F81B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'Sheet1'!$A$2:$A$4</c:f>
              <c:strCache>
                <c:ptCount val="3"/>
                <c:pt idx="0">
                  <c:v>全日制在校生数</c:v>
                </c:pt>
                <c:pt idx="1">
                  <c:v>本年度招生数</c:v>
                </c:pt>
                <c:pt idx="2">
                  <c:v>初中应届毕业生数</c:v>
                </c:pt>
              </c:strCache>
            </c:strRef>
          </c:cat>
          <c:val>
            <c:numRef>
              <c:f>'Sheet1'!$B$2:$B$4</c:f>
              <c:numCache>
                <c:formatCode>General</c:formatCode>
                <c:ptCount val="3"/>
                <c:pt idx="0">
                  <c:v>39259.0</c:v>
                </c:pt>
                <c:pt idx="1">
                  <c:v>23227.0</c:v>
                </c:pt>
                <c:pt idx="2">
                  <c:v>57875.0</c:v>
                </c:pt>
              </c:numCache>
            </c:numRef>
          </c:val>
        </c:ser>
        <c:ser>
          <c:idx val="1"/>
          <c:order val="1"/>
          <c:tx>
            <c:strRef>
              <c:f>'Sheet1'!$C$1</c:f>
              <c:strCache>
                <c:ptCount val="1"/>
                <c:pt idx="0">
                  <c:v>2020-2021学年</c:v>
                </c:pt>
              </c:strCache>
            </c:strRef>
          </c:tx>
          <c:spPr>
            <a:solidFill>
              <a:srgbClr val="C0504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'Sheet1'!$A$2:$A$4</c:f>
              <c:strCache>
                <c:ptCount val="3"/>
                <c:pt idx="0">
                  <c:v>全日制在校生数</c:v>
                </c:pt>
                <c:pt idx="1">
                  <c:v>本年度招生数</c:v>
                </c:pt>
                <c:pt idx="2">
                  <c:v>初中应届毕业生数</c:v>
                </c:pt>
              </c:strCache>
            </c:strRef>
          </c:cat>
          <c:val>
            <c:numRef>
              <c:f>'Sheet1'!$C$2:$C$4</c:f>
              <c:numCache>
                <c:formatCode>General</c:formatCode>
                <c:ptCount val="3"/>
                <c:pt idx="0">
                  <c:v>38526.0</c:v>
                </c:pt>
                <c:pt idx="1">
                  <c:v>27243.0</c:v>
                </c:pt>
                <c:pt idx="2">
                  <c:v>63449.0</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Lucida Sans"/>
              </a:defRPr>
            </a:pPr>
            <a:endParaRPr lang="zh-CN"/>
          </a:p>
        </c:txPr>
      </c:dTable>
      <c:spPr>
        <a:noFill/>
        <a:ln>
          <a:noFill/>
        </a:ln>
      </c:spPr>
    </c:plotArea>
    <c:plotVisOnly val="1"/>
    <c:dispBlanksAs val="gap"/>
    <c:showDLblsOverMax val="0"/>
  </c:chart>
  <c:spPr>
    <a:solidFill>
      <a:srgbClr val="FFFFFF"/>
    </a:solidFill>
    <a:ln>
      <a:noFill/>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(3)'!$A$2</c:f>
              <c:strCache>
                <c:ptCount val="1"/>
                <c:pt idx="0">
                  <c:v>在校生数</c:v>
                </c:pt>
              </c:strCache>
            </c:strRef>
          </c:tx>
          <c:spPr>
            <a:solidFill>
              <a:srgbClr val="4F81BD"/>
            </a:solidFill>
            <a:ln>
              <a:noFill/>
            </a:ln>
          </c:spPr>
          <c:dPt>
            <c:idx val="0"/>
            <c:bubble3D val="0"/>
            <c:spPr>
              <a:solidFill>
                <a:srgbClr val="4F81BD"/>
              </a:solidFill>
              <a:ln>
                <a:noFill/>
              </a:ln>
            </c:spPr>
          </c:dPt>
          <c:dPt>
            <c:idx val="1"/>
            <c:bubble3D val="0"/>
            <c:spPr>
              <a:solidFill>
                <a:srgbClr val="C0504D"/>
              </a:solidFill>
              <a:ln>
                <a:noFill/>
              </a:ln>
            </c:spPr>
          </c:dPt>
          <c:dLbls>
            <c:spPr>
              <a:noFill/>
              <a:ln>
                <a:noFill/>
              </a:ln>
            </c:spPr>
            <c:txPr>
              <a:bodyPr vert="horz"/>
              <a:lstStyle/>
              <a:p>
                <a:pPr>
                  <a:defRPr sz="1050" b="0" i="0" u="none" strike="noStrike" baseline="0">
                    <a:solidFill>
                      <a:srgbClr val="404040"/>
                    </a:solidFill>
                    <a:latin typeface="Times New Roman"/>
                    <a:ea typeface="宋体"/>
                    <a:cs typeface="Lucida Sans"/>
                  </a:defRPr>
                </a:pPr>
                <a:endParaRPr lang="zh-CN"/>
              </a:p>
            </c:txPr>
            <c:numFmt formatCode="0.00%" sourceLinked="0"/>
            <c:dLbl>
              <c:idx val="0"/>
              <c:layout>
                <c:manualLayout>
                  <c:x val="0.19718917"/>
                  <c:y val="-0.14616038"/>
                </c:manualLayout>
              </c:layout>
              <c:numFmt formatCode="0.00%" sourceLinked="0"/>
              <c:spPr>
                <a:solidFill>
                  <a:srgbClr val="FFFFFF"/>
                </a:solidFill>
                <a:ln w="6350">
                  <a:solidFill>
                    <a:srgbClr val="BFBFBF"/>
                  </a:solidFill>
                  <a:prstDash val="solid"/>
                </a:ln>
              </c:spPr>
              <c:txPr>
                <a:bodyPr vert="horz"/>
                <a:lstStyle/>
                <a:p>
                  <a:pPr>
                    <a:defRPr sz="1050" b="0" i="0" u="none" strike="noStrike" baseline="0">
                      <a:solidFill>
                        <a:srgbClr val="595959"/>
                      </a:solidFill>
                      <a:latin typeface="Times New Roman"/>
                      <a:ea typeface="宋体"/>
                      <a:cs typeface="Lucida Sans"/>
                    </a:defRPr>
                  </a:pPr>
                  <a:endParaRPr lang="zh-CN"/>
                </a:p>
              </c:txPr>
              <c:showLegendKey val="0"/>
              <c:showVal val="1"/>
              <c:showCatName val="1"/>
              <c:showSerName val="0"/>
              <c:showPercent val="1"/>
              <c:showBubbleSize val="0"/>
            </c:dLbl>
            <c:dLbl>
              <c:idx val="1"/>
              <c:layout>
                <c:manualLayout>
                  <c:x val="-0.18977079"/>
                  <c:y val="0.10909606"/>
                </c:manualLayout>
              </c:layout>
              <c:numFmt formatCode="0.00%" sourceLinked="0"/>
              <c:spPr>
                <a:solidFill>
                  <a:srgbClr val="FFFFFF"/>
                </a:solidFill>
                <a:ln w="6350">
                  <a:solidFill>
                    <a:srgbClr val="BFBFBF"/>
                  </a:solidFill>
                  <a:prstDash val="solid"/>
                </a:ln>
              </c:spPr>
              <c:txPr>
                <a:bodyPr vert="horz"/>
                <a:lstStyle/>
                <a:p>
                  <a:pPr>
                    <a:defRPr sz="1050" b="0" i="0" u="none" strike="noStrike" baseline="0">
                      <a:solidFill>
                        <a:srgbClr val="595959"/>
                      </a:solidFill>
                      <a:latin typeface="Times New Roman"/>
                      <a:ea typeface="宋体"/>
                      <a:cs typeface="Lucida Sans"/>
                    </a:defRPr>
                  </a:pPr>
                  <a:endParaRPr lang="zh-CN"/>
                </a:p>
              </c:txPr>
              <c:showLegendKey val="0"/>
              <c:showVal val="1"/>
              <c:showCatName val="1"/>
              <c:showSerName val="0"/>
              <c:showPercent val="1"/>
              <c:showBubbleSize val="0"/>
            </c:dLbl>
            <c:showLegendKey val="0"/>
            <c:showVal val="1"/>
            <c:showCatName val="1"/>
            <c:showSerName val="0"/>
            <c:showPercent val="1"/>
            <c:showBubbleSize val="0"/>
            <c:showLeaderLines val="0"/>
          </c:dLbls>
          <c:cat>
            <c:strRef>
              <c:f>'Sheet1 (3)'!$B$1:$C$1</c:f>
              <c:strCache>
                <c:ptCount val="2"/>
                <c:pt idx="0">
                  <c:v>公办学校</c:v>
                </c:pt>
                <c:pt idx="1">
                  <c:v>民办学校</c:v>
                </c:pt>
              </c:strCache>
            </c:strRef>
          </c:cat>
          <c:val>
            <c:numRef>
              <c:f>'Sheet1 (3)'!$B$2:$C$2</c:f>
              <c:numCache>
                <c:formatCode>0_ "人"</c:formatCode>
                <c:ptCount val="2"/>
                <c:pt idx="0">
                  <c:v>35347.0</c:v>
                </c:pt>
                <c:pt idx="1">
                  <c:v>3179.0</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zero"/>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 (4)'!$B$1</c:f>
              <c:strCache>
                <c:ptCount val="1"/>
                <c:pt idx="0">
                  <c:v>2019-2020学年</c:v>
                </c:pt>
              </c:strCache>
            </c:strRef>
          </c:tx>
          <c:spPr>
            <a:solidFill>
              <a:srgbClr val="4F81B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3"/>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4"/>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5"/>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(4)'!$A$2:$A$7</c:f>
              <c:strCache>
                <c:ptCount val="6"/>
                <c:pt idx="0">
                  <c:v>教学仪器设备值</c:v>
                </c:pt>
                <c:pt idx="1">
                  <c:v>生均设备值</c:v>
                </c:pt>
                <c:pt idx="2">
                  <c:v>纸质图书</c:v>
                </c:pt>
                <c:pt idx="3">
                  <c:v>数字图书</c:v>
                </c:pt>
                <c:pt idx="4">
                  <c:v>计算机数</c:v>
                </c:pt>
                <c:pt idx="5">
                  <c:v>多媒体教室</c:v>
                </c:pt>
              </c:strCache>
            </c:strRef>
          </c:cat>
          <c:val>
            <c:numRef>
              <c:f>'Sheet1 (4)'!$B$2:$B$7</c:f>
              <c:numCache>
                <c:formatCode>General</c:formatCode>
                <c:ptCount val="6"/>
                <c:pt idx="0">
                  <c:v>51349.1</c:v>
                </c:pt>
                <c:pt idx="1">
                  <c:v>13079.0</c:v>
                </c:pt>
                <c:pt idx="2">
                  <c:v>130.6</c:v>
                </c:pt>
                <c:pt idx="3">
                  <c:v>418.3</c:v>
                </c:pt>
                <c:pt idx="4">
                  <c:v>12826.0</c:v>
                </c:pt>
                <c:pt idx="5">
                  <c:v>1106.0</c:v>
                </c:pt>
              </c:numCache>
            </c:numRef>
          </c:val>
        </c:ser>
        <c:ser>
          <c:idx val="1"/>
          <c:order val="1"/>
          <c:tx>
            <c:strRef>
              <c:f>'Sheet1 (4)'!$C$1</c:f>
              <c:strCache>
                <c:ptCount val="1"/>
                <c:pt idx="0">
                  <c:v>2020-2021学年</c:v>
                </c:pt>
              </c:strCache>
            </c:strRef>
          </c:tx>
          <c:spPr>
            <a:solidFill>
              <a:srgbClr val="C0504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3"/>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4"/>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5"/>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(4)'!$A$2:$A$7</c:f>
              <c:strCache>
                <c:ptCount val="6"/>
                <c:pt idx="0">
                  <c:v>教学仪器设备值</c:v>
                </c:pt>
                <c:pt idx="1">
                  <c:v>生均设备值</c:v>
                </c:pt>
                <c:pt idx="2">
                  <c:v>纸质图书</c:v>
                </c:pt>
                <c:pt idx="3">
                  <c:v>数字图书</c:v>
                </c:pt>
                <c:pt idx="4">
                  <c:v>计算机数</c:v>
                </c:pt>
                <c:pt idx="5">
                  <c:v>多媒体教室</c:v>
                </c:pt>
              </c:strCache>
            </c:strRef>
          </c:cat>
          <c:val>
            <c:numRef>
              <c:f>'Sheet1 (4)'!$C$2:$C$7</c:f>
              <c:numCache>
                <c:formatCode>General</c:formatCode>
                <c:ptCount val="6"/>
                <c:pt idx="0">
                  <c:v>51909.34</c:v>
                </c:pt>
                <c:pt idx="1">
                  <c:v>13482.0</c:v>
                </c:pt>
                <c:pt idx="2">
                  <c:v>108.9</c:v>
                </c:pt>
                <c:pt idx="3">
                  <c:v>495.6</c:v>
                </c:pt>
                <c:pt idx="4">
                  <c:v>19567.0</c:v>
                </c:pt>
                <c:pt idx="5">
                  <c:v>1095.0</c:v>
                </c:pt>
              </c:numCache>
            </c:numRef>
          </c:val>
        </c:ser>
        <c:gapWidth val="182"/>
        <c:axId val="0"/>
        <c:axId val="1"/>
      </c:barChart>
      <c:catAx>
        <c:axId val="0"/>
        <c:scaling>
          <c:orientation val="minMax"/>
        </c:scaling>
        <c:delete val="0"/>
        <c:axPos val="l"/>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b"/>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v>2020</c:v>
          </c:tx>
          <c:spPr>
            <a:solidFill>
              <a:srgbClr val="C0504D"/>
            </a:solidFill>
            <a:ln>
              <a:noFill/>
            </a:ln>
          </c:spPr>
          <c:invertIfNegative val="0"/>
          <c:dLbls>
            <c:dLbl>
              <c:idx val="0"/>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3"/>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4"/>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5"/>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Lit>
              <c:ptCount val="6"/>
              <c:pt idx="0">
                <c:v>年度</c:v>
              </c:pt>
              <c:pt idx="1">
                <c:v>专任教师数</c:v>
              </c:pt>
              <c:pt idx="2">
                <c:v>双师型教师数</c:v>
              </c:pt>
              <c:pt idx="3">
                <c:v>兼职教师数</c:v>
              </c:pt>
              <c:pt idx="4">
                <c:v>专任教师硕士以上人数</c:v>
              </c:pt>
              <c:pt idx="5">
                <c:v>专任教师高级职称人数</c:v>
              </c:pt>
            </c:strLit>
          </c:cat>
          <c:val>
            <c:numRef>
              <c:f/>
              <c:numCache>
                <c:formatCode>General</c:formatCode>
                <c:ptCount val="6"/>
                <c:pt idx="0">
                  <c:v>2021.0</c:v>
                </c:pt>
                <c:pt idx="1">
                  <c:v>2209.0</c:v>
                </c:pt>
                <c:pt idx="2">
                  <c:v>1075.0</c:v>
                </c:pt>
                <c:pt idx="3">
                  <c:v>315.0</c:v>
                </c:pt>
                <c:pt idx="4">
                  <c:v>487.0</c:v>
                </c:pt>
                <c:pt idx="5">
                  <c:v>813.0</c:v>
                </c:pt>
              </c:numCache>
            </c:numRef>
          </c:val>
        </c:ser>
        <c:ser>
          <c:idx val="0"/>
          <c:order val="1"/>
          <c:tx>
            <c:v>2021</c:v>
          </c:tx>
          <c:spPr>
            <a:solidFill>
              <a:srgbClr val="4F81BD"/>
            </a:solidFill>
            <a:ln>
              <a:noFill/>
            </a:ln>
          </c:spPr>
          <c:invertIfNegative val="0"/>
          <c:dLbls>
            <c:dLbl>
              <c:idx val="0"/>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3"/>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4"/>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5"/>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Lit>
              <c:ptCount val="6"/>
              <c:pt idx="0">
                <c:v>年度</c:v>
              </c:pt>
              <c:pt idx="1">
                <c:v>专任教师数</c:v>
              </c:pt>
              <c:pt idx="2">
                <c:v>双师型教师数</c:v>
              </c:pt>
              <c:pt idx="3">
                <c:v>兼职教师数</c:v>
              </c:pt>
              <c:pt idx="4">
                <c:v>专任教师硕士以上人数</c:v>
              </c:pt>
              <c:pt idx="5">
                <c:v>专任教师高级职称人数</c:v>
              </c:pt>
            </c:strLit>
          </c:cat>
          <c:val>
            <c:numRef>
              <c:f/>
              <c:numCache>
                <c:formatCode>General</c:formatCode>
                <c:ptCount val="6"/>
                <c:pt idx="0">
                  <c:v>2020.0</c:v>
                </c:pt>
                <c:pt idx="1">
                  <c:v>2174.0</c:v>
                </c:pt>
                <c:pt idx="2">
                  <c:v>1069.0</c:v>
                </c:pt>
                <c:pt idx="3">
                  <c:v>238.0</c:v>
                </c:pt>
                <c:pt idx="4">
                  <c:v>477.0</c:v>
                </c:pt>
                <c:pt idx="5">
                  <c:v>746.0</c:v>
                </c:pt>
              </c:numCache>
            </c:numRef>
          </c:val>
        </c:ser>
        <c:overlap val="-27"/>
        <c:gapWidth val="219"/>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Lucida Sans"/>
              </a:defRPr>
            </a:pPr>
            <a:endParaRPr lang="zh-CN"/>
          </a:p>
        </c:txPr>
      </c:dTable>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a:noFill/>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 (6)'!$A$2</c:f>
              <c:strCache>
                <c:ptCount val="1"/>
                <c:pt idx="0">
                  <c:v>2020年</c:v>
                </c:pt>
              </c:strCache>
            </c:strRef>
          </c:tx>
          <c:spPr>
            <a:solidFill>
              <a:srgbClr val="4F81B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(6)'!$B$1:$D$1</c:f>
              <c:strCache>
                <c:ptCount val="3"/>
                <c:pt idx="0">
                  <c:v>思政专任教师</c:v>
                </c:pt>
                <c:pt idx="1">
                  <c:v>德育管理人员</c:v>
                </c:pt>
                <c:pt idx="2">
                  <c:v>思政教学团队</c:v>
                </c:pt>
              </c:strCache>
            </c:strRef>
          </c:cat>
          <c:val>
            <c:numRef>
              <c:f>'Sheet1 (6)'!$B$2:$D$2</c:f>
              <c:numCache>
                <c:formatCode>General</c:formatCode>
                <c:ptCount val="3"/>
                <c:pt idx="0">
                  <c:v>142.0</c:v>
                </c:pt>
                <c:pt idx="1">
                  <c:v>589.0</c:v>
                </c:pt>
                <c:pt idx="2">
                  <c:v>7.0</c:v>
                </c:pt>
              </c:numCache>
            </c:numRef>
          </c:val>
        </c:ser>
        <c:ser>
          <c:idx val="1"/>
          <c:order val="1"/>
          <c:tx>
            <c:strRef>
              <c:f>'Sheet1 (6)'!$A$3</c:f>
              <c:strCache>
                <c:ptCount val="1"/>
                <c:pt idx="0">
                  <c:v>2021年</c:v>
                </c:pt>
              </c:strCache>
            </c:strRef>
          </c:tx>
          <c:spPr>
            <a:solidFill>
              <a:srgbClr val="C0504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(6)'!$B$1:$D$1</c:f>
              <c:strCache>
                <c:ptCount val="3"/>
                <c:pt idx="0">
                  <c:v>思政专任教师</c:v>
                </c:pt>
                <c:pt idx="1">
                  <c:v>德育管理人员</c:v>
                </c:pt>
                <c:pt idx="2">
                  <c:v>思政教学团队</c:v>
                </c:pt>
              </c:strCache>
            </c:strRef>
          </c:cat>
          <c:val>
            <c:numRef>
              <c:f>'Sheet1 (6)'!$B$3:$D$3</c:f>
              <c:numCache>
                <c:formatCode>General</c:formatCode>
                <c:ptCount val="3"/>
                <c:pt idx="0">
                  <c:v>146.0</c:v>
                </c:pt>
                <c:pt idx="1">
                  <c:v>609.0</c:v>
                </c:pt>
                <c:pt idx="2">
                  <c:v>15.0</c:v>
                </c:pt>
              </c:numCache>
            </c:numRef>
          </c:val>
        </c:ser>
        <c:overlap val="-27"/>
        <c:gapWidth val="219"/>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a:noFill/>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 (8)'!$A$2</c:f>
              <c:strCache>
                <c:ptCount val="1"/>
                <c:pt idx="0">
                  <c:v>学考文化基础课考试合格率</c:v>
                </c:pt>
              </c:strCache>
            </c:strRef>
          </c:tx>
          <c:spPr>
            <a:solidFill>
              <a:srgbClr val="4F81B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(8)'!$B$1:$C$1</c:f>
              <c:strCache>
                <c:ptCount val="2"/>
                <c:pt idx="0">
                  <c:v>2020年</c:v>
                </c:pt>
                <c:pt idx="1">
                  <c:v>2021年</c:v>
                </c:pt>
              </c:strCache>
            </c:strRef>
          </c:cat>
          <c:val>
            <c:numRef>
              <c:f>'Sheet1 (8)'!$B$2:$C$2</c:f>
              <c:numCache>
                <c:formatCode>0.00%</c:formatCode>
                <c:ptCount val="2"/>
                <c:pt idx="0">
                  <c:v>0.8484</c:v>
                </c:pt>
                <c:pt idx="1">
                  <c:v>0.894</c:v>
                </c:pt>
              </c:numCache>
            </c:numRef>
          </c:val>
        </c:ser>
        <c:ser>
          <c:idx val="1"/>
          <c:order val="1"/>
          <c:tx>
            <c:strRef>
              <c:f>'Sheet1 (8)'!$A$3</c:f>
              <c:strCache>
                <c:ptCount val="1"/>
                <c:pt idx="0">
                  <c:v>学考专业技能考试合格率</c:v>
                </c:pt>
              </c:strCache>
            </c:strRef>
          </c:tx>
          <c:spPr>
            <a:solidFill>
              <a:srgbClr val="C0504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(8)'!$B$1:$C$1</c:f>
              <c:strCache>
                <c:ptCount val="2"/>
                <c:pt idx="0">
                  <c:v>2020年</c:v>
                </c:pt>
                <c:pt idx="1">
                  <c:v>2021年</c:v>
                </c:pt>
              </c:strCache>
            </c:strRef>
          </c:cat>
          <c:val>
            <c:numRef>
              <c:f>'Sheet1 (8)'!$B$3:$C$3</c:f>
              <c:numCache>
                <c:formatCode>0.00%</c:formatCode>
                <c:ptCount val="2"/>
                <c:pt idx="0">
                  <c:v>0.863</c:v>
                </c:pt>
                <c:pt idx="1">
                  <c:v>0.8946</c:v>
                </c:pt>
              </c:numCache>
            </c:numRef>
          </c:val>
        </c:ser>
        <c:ser>
          <c:idx val="2"/>
          <c:order val="2"/>
          <c:tx>
            <c:strRef>
              <c:f>'Sheet1 (8)'!$A$4</c:f>
              <c:strCache>
                <c:ptCount val="1"/>
                <c:pt idx="0">
                  <c:v>学生体质测评合格率</c:v>
                </c:pt>
              </c:strCache>
            </c:strRef>
          </c:tx>
          <c:spPr>
            <a:solidFill>
              <a:srgbClr val="9BBB59"/>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(8)'!$B$1:$C$1</c:f>
              <c:strCache>
                <c:ptCount val="2"/>
                <c:pt idx="0">
                  <c:v>2020年</c:v>
                </c:pt>
                <c:pt idx="1">
                  <c:v>2021年</c:v>
                </c:pt>
              </c:strCache>
            </c:strRef>
          </c:cat>
          <c:val>
            <c:numRef>
              <c:f>'Sheet1 (8)'!$B$4:$C$4</c:f>
              <c:numCache>
                <c:formatCode>0%</c:formatCode>
                <c:ptCount val="2"/>
                <c:pt idx="0">
                  <c:v>0.9284</c:v>
                </c:pt>
                <c:pt idx="1">
                  <c:v>0.95</c:v>
                </c:pt>
              </c:numCache>
            </c:numRef>
          </c:val>
        </c:ser>
        <c:gapWidth val="150"/>
        <c:axId val="0"/>
        <c:axId val="1"/>
      </c:barChart>
      <c:catAx>
        <c:axId val="0"/>
        <c:scaling>
          <c:orientation val="minMax"/>
        </c:scaling>
        <c:delete val="0"/>
        <c:axPos val="l"/>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b"/>
        <c:majorGridlines>
          <c:spPr>
            <a:ln w="6350">
              <a:solidFill>
                <a:srgbClr val="D9D9D9"/>
              </a:solidFill>
              <a:prstDash val="solid"/>
            </a:ln>
          </c:spPr>
        </c:majorGridlines>
        <c:numFmt formatCode="0.00%"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(9)'!$B$1</c:f>
              <c:strCache>
                <c:ptCount val="1"/>
                <c:pt idx="0">
                  <c:v>比率</c:v>
                </c:pt>
              </c:strCache>
            </c:strRef>
          </c:tx>
          <c:spPr>
            <a:solidFill>
              <a:srgbClr val="4F81BD"/>
            </a:solidFill>
            <a:ln>
              <a:noFill/>
            </a:ln>
          </c:spPr>
          <c:explosion val="6"/>
          <c:dPt>
            <c:idx val="0"/>
            <c:bubble3D val="0"/>
            <c:spPr>
              <a:solidFill>
                <a:srgbClr val="F79646"/>
              </a:solidFill>
              <a:ln w="19050">
                <a:solidFill>
                  <a:srgbClr val="FFFFFF"/>
                </a:solidFill>
                <a:prstDash val="solid"/>
              </a:ln>
            </c:spPr>
          </c:dPt>
          <c:dPt>
            <c:idx val="1"/>
            <c:bubble3D val="0"/>
            <c:spPr>
              <a:solidFill>
                <a:srgbClr val="4BACC6"/>
              </a:solidFill>
              <a:ln w="19050">
                <a:solidFill>
                  <a:srgbClr val="FFFFFF"/>
                </a:solidFill>
                <a:prstDash val="solid"/>
              </a:ln>
            </c:spPr>
          </c:dPt>
          <c:dPt>
            <c:idx val="2"/>
            <c:bubble3D val="0"/>
            <c:spPr>
              <a:solidFill>
                <a:srgbClr val="8064A2"/>
              </a:solidFill>
              <a:ln w="19050">
                <a:solidFill>
                  <a:srgbClr val="FFFFFF"/>
                </a:solidFill>
                <a:prstDash val="solid"/>
              </a:ln>
            </c:spPr>
          </c:dPt>
          <c:dLbls>
            <c:spPr>
              <a:solidFill>
                <a:srgbClr val="FFFFFF"/>
              </a:solidFill>
              <a:ln w="6350">
                <a:solidFill>
                  <a:srgbClr val="BFBFBF"/>
                </a:solidFill>
                <a:prstDash val="solid"/>
              </a:ln>
            </c:spPr>
            <c:txPr>
              <a:bodyPr vert="horz"/>
              <a:lstStyle/>
              <a:p>
                <a:pPr>
                  <a:defRPr sz="900" b="0" i="0" u="none" strike="noStrike" baseline="0">
                    <a:solidFill>
                      <a:srgbClr val="595959"/>
                    </a:solidFill>
                    <a:latin typeface="Times New Roman"/>
                    <a:ea typeface="宋体"/>
                    <a:cs typeface="Lucida Sans"/>
                  </a:defRPr>
                </a:pPr>
                <a:endParaRPr lang="zh-CN"/>
              </a:p>
            </c:txPr>
            <c:numFmt formatCode="0%" sourceLinked="0"/>
            <c:dLbl>
              <c:idx val="0"/>
              <c:numFmt formatCode="0%" sourceLinked="0"/>
              <c:spPr>
                <a:solidFill>
                  <a:srgbClr val="FFFFFF"/>
                </a:solidFill>
                <a:ln w="6350">
                  <a:solidFill>
                    <a:srgbClr val="BFBFBF"/>
                  </a:solidFill>
                  <a:prstDash val="solid"/>
                </a:ln>
              </c:spPr>
              <c:txPr>
                <a:bodyPr vert="horz"/>
                <a:lstStyle/>
                <a:p>
                  <a:pPr>
                    <a:defRPr sz="900" b="0" i="0" u="none" strike="noStrike" baseline="0">
                      <a:solidFill>
                        <a:srgbClr val="595959"/>
                      </a:solidFill>
                      <a:latin typeface="Times New Roman"/>
                      <a:ea typeface="宋体"/>
                      <a:cs typeface="Lucida Sans"/>
                    </a:defRPr>
                  </a:pPr>
                  <a:endParaRPr lang="zh-CN"/>
                </a:p>
              </c:txPr>
              <c:showLegendKey val="0"/>
              <c:showVal val="1"/>
              <c:showCatName val="1"/>
              <c:showSerName val="0"/>
              <c:showPercent val="0"/>
              <c:showBubbleSize val="0"/>
            </c:dLbl>
            <c:dLbl>
              <c:idx val="1"/>
              <c:layout>
                <c:manualLayout>
                  <c:x val="-0.02216459"/>
                  <c:y val="0.15456729"/>
                </c:manualLayout>
              </c:layout>
              <c:numFmt formatCode="0%" sourceLinked="0"/>
              <c:spPr>
                <a:solidFill>
                  <a:srgbClr val="FFFFFF"/>
                </a:solidFill>
                <a:ln w="6350">
                  <a:solidFill>
                    <a:srgbClr val="BFBFBF"/>
                  </a:solidFill>
                  <a:prstDash val="solid"/>
                </a:ln>
              </c:spPr>
              <c:txPr>
                <a:bodyPr vert="horz"/>
                <a:lstStyle/>
                <a:p>
                  <a:pPr>
                    <a:defRPr sz="900" b="0" i="0" u="none" strike="noStrike" baseline="0">
                      <a:solidFill>
                        <a:srgbClr val="595959"/>
                      </a:solidFill>
                      <a:latin typeface="Times New Roman"/>
                      <a:ea typeface="宋体"/>
                      <a:cs typeface="Lucida Sans"/>
                    </a:defRPr>
                  </a:pPr>
                  <a:endParaRPr lang="zh-CN"/>
                </a:p>
              </c:txPr>
              <c:showLegendKey val="0"/>
              <c:showVal val="1"/>
              <c:showCatName val="1"/>
              <c:showSerName val="0"/>
              <c:showPercent val="0"/>
              <c:showBubbleSize val="0"/>
            </c:dLbl>
            <c:dLbl>
              <c:idx val="2"/>
              <c:layout>
                <c:manualLayout>
                  <c:x val="0.04116777"/>
                  <c:y val="-0.103074335"/>
                </c:manualLayout>
              </c:layout>
              <c:numFmt formatCode="0%" sourceLinked="0"/>
              <c:spPr>
                <a:solidFill>
                  <a:srgbClr val="FFFFFF"/>
                </a:solidFill>
                <a:ln w="6350">
                  <a:solidFill>
                    <a:srgbClr val="BFBFBF"/>
                  </a:solidFill>
                  <a:prstDash val="solid"/>
                </a:ln>
              </c:spPr>
              <c:txPr>
                <a:bodyPr vert="horz"/>
                <a:lstStyle/>
                <a:p>
                  <a:pPr>
                    <a:defRPr sz="900" b="0" i="0" u="none" strike="noStrike" baseline="0">
                      <a:solidFill>
                        <a:srgbClr val="595959"/>
                      </a:solidFill>
                      <a:latin typeface="Times New Roman"/>
                      <a:ea typeface="宋体"/>
                      <a:cs typeface="Lucida Sans"/>
                    </a:defRPr>
                  </a:pPr>
                  <a:endParaRPr lang="zh-CN"/>
                </a:p>
              </c:txPr>
              <c:showLegendKey val="0"/>
              <c:showVal val="1"/>
              <c:showCatName val="1"/>
              <c:showSerName val="0"/>
              <c:showPercent val="0"/>
              <c:showBubbleSize val="0"/>
            </c:dLbl>
            <c:showLegendKey val="0"/>
            <c:showVal val="0"/>
            <c:showCatName val="1"/>
            <c:showSerName val="0"/>
            <c:showPercent val="1"/>
            <c:showBubbleSize val="0"/>
            <c:showLeaderLines val="1"/>
          </c:dLbls>
          <c:cat>
            <c:strRef>
              <c:f>'Sheet1 (9)'!$A$2:$A$4</c:f>
              <c:strCache>
                <c:ptCount val="3"/>
                <c:pt idx="0">
                  <c:v>未就业</c:v>
                </c:pt>
                <c:pt idx="1">
                  <c:v>直接就业</c:v>
                </c:pt>
                <c:pt idx="2">
                  <c:v>升学</c:v>
                </c:pt>
              </c:strCache>
            </c:strRef>
          </c:cat>
          <c:val>
            <c:numRef>
              <c:f>'Sheet1 (9)'!$B$2:$B$4</c:f>
              <c:numCache>
                <c:formatCode>0.00%</c:formatCode>
                <c:ptCount val="3"/>
                <c:pt idx="0">
                  <c:v>0.002</c:v>
                </c:pt>
                <c:pt idx="1">
                  <c:v>0.2794</c:v>
                </c:pt>
                <c:pt idx="2">
                  <c:v>0.7186</c:v>
                </c:pt>
              </c:numCache>
            </c:numRef>
          </c:val>
        </c:ser>
        <c:firstSliceAng val="0"/>
      </c:pieChart>
      <c:spPr>
        <a:noFill/>
        <a:ln>
          <a:noFill/>
        </a:ln>
      </c:spPr>
    </c:plotArea>
    <c:legend>
      <c:legendPos val="b"/>
      <c:layout>
        <c:manualLayout>
          <c:xMode val="edge"/>
          <c:yMode val="edge"/>
          <c:x val="0.20724979"/>
          <c:y val="0.8902373"/>
          <c:w val="0.5855004"/>
          <c:h val="0.073163316"/>
        </c:manualLayou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a:noFill/>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 (10)'!$B$1</c:f>
              <c:strCache>
                <c:ptCount val="1"/>
                <c:pt idx="0">
                  <c:v>起薪值</c:v>
                </c:pt>
              </c:strCache>
            </c:strRef>
          </c:tx>
          <c:spPr>
            <a:ln w="25400">
              <a:solidFill>
                <a:srgbClr val="4F81BD"/>
              </a:solidFill>
              <a:prstDash val="solid"/>
            </a:ln>
          </c:spPr>
          <c:marker>
            <c:symbol val="none"/>
          </c:marker>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r"/>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r"/>
              <c:delete val="1"/>
            </c:dLbl>
            <c:dLblPos val="r"/>
            <c:showLegendKey val="0"/>
            <c:showVal val="0"/>
            <c:showCatName val="0"/>
            <c:showSerName val="0"/>
            <c:showPercent val="0"/>
            <c:showBubbleSize val="0"/>
            <c:showLeaderLines val="0"/>
          </c:dLbls>
          <c:cat>
            <c:strRef>
              <c:f>'Sheet1 (10)'!$A$2:$A$3</c:f>
              <c:strCache>
                <c:ptCount val="2"/>
                <c:pt idx="0">
                  <c:v>2020年</c:v>
                </c:pt>
                <c:pt idx="1">
                  <c:v>2021年</c:v>
                </c:pt>
              </c:strCache>
            </c:strRef>
          </c:cat>
          <c:val>
            <c:numRef>
              <c:f>'Sheet1 (10)'!$B$2:$B$3</c:f>
              <c:numCache>
                <c:formatCode>General</c:formatCode>
                <c:ptCount val="2"/>
                <c:pt idx="0">
                  <c:v>2060.4</c:v>
                </c:pt>
                <c:pt idx="1">
                  <c:v>3115.0</c:v>
                </c:pt>
              </c:numCache>
            </c:numRef>
          </c:val>
          <c:smooth val="0"/>
        </c:ser>
        <c:marker val="1"/>
        <c:smooth val="0"/>
        <c:axId val="0"/>
        <c:axId val="1"/>
      </c:line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title>
          <c:tx>
            <c:rich>
              <a:bodyPr rot="-5400000" vert="horz"/>
              <a:lstStyle/>
              <a:p>
                <a:pPr>
                  <a:defRPr sz="1000" b="0" i="0" u="none" strike="noStrike" baseline="0">
                    <a:solidFill>
                      <a:srgbClr val="595959"/>
                    </a:solidFill>
                    <a:latin typeface="Times New Roman"/>
                    <a:ea typeface="宋体"/>
                    <a:cs typeface="Lucida Sans"/>
                  </a:defRPr>
                </a:pPr>
                <a:r>
                  <a:rPr lang="zh-CN"/>
                  <a:t>单位：元</a:t>
                </a:r>
              </a:p>
            </c:rich>
          </c:tx>
          <c:layout/>
          <c:overlay val="0"/>
          <c:spPr>
            <a:noFill/>
            <a:ln>
              <a:noFill/>
            </a:ln>
          </c:spPr>
        </c:title>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Lucida Sans"/>
              </a:defRPr>
            </a:pPr>
            <a:endParaRPr lang="zh-CN"/>
          </a:p>
        </c:txPr>
      </c:dTable>
      <c:spPr>
        <a:noFill/>
        <a:ln>
          <a:noFill/>
        </a:ln>
      </c:spPr>
    </c:plotArea>
    <c:plotVisOnly val="1"/>
    <c:dispBlanksAs val="gap"/>
    <c:showDLblsOverMax val="0"/>
  </c:chart>
  <c:spPr>
    <a:solidFill>
      <a:srgbClr val="FFFFFF"/>
    </a:solidFill>
    <a:ln>
      <a:noFill/>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 (11)'!$B$1</c:f>
              <c:strCache>
                <c:ptCount val="1"/>
                <c:pt idx="0">
                  <c:v>2019-2020年</c:v>
                </c:pt>
              </c:strCache>
            </c:strRef>
          </c:tx>
          <c:spPr>
            <a:solidFill>
              <a:srgbClr val="4F81B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(11)'!$A$2:$A$4</c:f>
              <c:strCache>
                <c:ptCount val="3"/>
                <c:pt idx="0">
                  <c:v>毕业生就业满意度</c:v>
                </c:pt>
                <c:pt idx="1">
                  <c:v>就业单位对毕业生职业素养的满意度</c:v>
                </c:pt>
                <c:pt idx="2">
                  <c:v>就业单位对毕业生职业技能的满意度</c:v>
                </c:pt>
              </c:strCache>
            </c:strRef>
          </c:cat>
          <c:val>
            <c:numRef>
              <c:f>'Sheet1 (11)'!$B$2:$B$4</c:f>
              <c:numCache>
                <c:formatCode>0.00%</c:formatCode>
                <c:ptCount val="3"/>
                <c:pt idx="0">
                  <c:v>0.953</c:v>
                </c:pt>
                <c:pt idx="1">
                  <c:v>0.987</c:v>
                </c:pt>
                <c:pt idx="2">
                  <c:v>0.937</c:v>
                </c:pt>
              </c:numCache>
            </c:numRef>
          </c:val>
        </c:ser>
        <c:ser>
          <c:idx val="1"/>
          <c:order val="1"/>
          <c:tx>
            <c:strRef>
              <c:f>'Sheet1 (11)'!$C$1</c:f>
              <c:strCache>
                <c:ptCount val="1"/>
                <c:pt idx="0">
                  <c:v>2020-2021年</c:v>
                </c:pt>
              </c:strCache>
            </c:strRef>
          </c:tx>
          <c:spPr>
            <a:solidFill>
              <a:srgbClr val="C0504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(11)'!$A$2:$A$4</c:f>
              <c:strCache>
                <c:ptCount val="3"/>
                <c:pt idx="0">
                  <c:v>毕业生就业满意度</c:v>
                </c:pt>
                <c:pt idx="1">
                  <c:v>就业单位对毕业生职业素养的满意度</c:v>
                </c:pt>
                <c:pt idx="2">
                  <c:v>就业单位对毕业生职业技能的满意度</c:v>
                </c:pt>
              </c:strCache>
            </c:strRef>
          </c:cat>
          <c:val>
            <c:numRef>
              <c:f>'Sheet1 (11)'!$C$2:$C$4</c:f>
              <c:numCache>
                <c:formatCode>0.00%</c:formatCode>
                <c:ptCount val="3"/>
                <c:pt idx="0">
                  <c:v>0.978</c:v>
                </c:pt>
                <c:pt idx="1">
                  <c:v>0.994</c:v>
                </c:pt>
                <c:pt idx="2">
                  <c:v>0.945</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title>
          <c:tx>
            <c:rich>
              <a:bodyPr rot="-5400000" vert="horz"/>
              <a:lstStyle/>
              <a:p>
                <a:pPr>
                  <a:defRPr sz="1000" b="0" i="0" u="none" strike="noStrike" baseline="0">
                    <a:solidFill>
                      <a:srgbClr val="595959"/>
                    </a:solidFill>
                    <a:latin typeface="Times New Roman"/>
                    <a:ea typeface="宋体"/>
                    <a:cs typeface="Lucida Sans"/>
                  </a:defRPr>
                </a:pPr>
                <a:r>
                  <a:rPr lang="zh-CN"/>
                  <a:t>坐标轴标题</a:t>
                </a:r>
              </a:p>
            </c:rich>
          </c:tx>
          <c:layout/>
          <c:overlay val="0"/>
          <c:spPr>
            <a:noFill/>
            <a:ln>
              <a:noFill/>
            </a:ln>
          </c:spPr>
        </c:title>
        <c:numFmt formatCode="0.00%"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Lucida Sans"/>
              </a:defRPr>
            </a:pPr>
            <a:endParaRPr lang="zh-CN"/>
          </a:p>
        </c:txPr>
      </c:dTable>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 (12)'!$B$1</c:f>
              <c:strCache>
                <c:ptCount val="1"/>
                <c:pt idx="0">
                  <c:v>2020</c:v>
                </c:pt>
              </c:strCache>
            </c:strRef>
          </c:tx>
          <c:spPr>
            <a:solidFill>
              <a:srgbClr val="5B9BD5"/>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3"/>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4"/>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5"/>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6"/>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(12)'!$A$2:$A$8</c:f>
              <c:strCache>
                <c:ptCount val="7"/>
                <c:pt idx="0">
                  <c:v>升入高一级学校就读人数</c:v>
                </c:pt>
                <c:pt idx="1">
                  <c:v>对口单独招生</c:v>
                </c:pt>
                <c:pt idx="2">
                  <c:v>中本贯通升学人数</c:v>
                </c:pt>
                <c:pt idx="3">
                  <c:v>中高贯通升学人数</c:v>
                </c:pt>
                <c:pt idx="4">
                  <c:v>技能拔尖人才免试升学人数</c:v>
                </c:pt>
                <c:pt idx="5">
                  <c:v>升入本科院校人数</c:v>
                </c:pt>
                <c:pt idx="6">
                  <c:v>升入高职高专院校人数</c:v>
                </c:pt>
              </c:strCache>
            </c:strRef>
          </c:cat>
          <c:val>
            <c:numRef>
              <c:f>'Sheet1 (12)'!$B$2:$B$8</c:f>
              <c:numCache>
                <c:formatCode>General</c:formatCode>
                <c:ptCount val="7"/>
                <c:pt idx="0">
                  <c:v>5116.0</c:v>
                </c:pt>
                <c:pt idx="1">
                  <c:v>2339.0</c:v>
                </c:pt>
                <c:pt idx="2">
                  <c:v>132.0</c:v>
                </c:pt>
                <c:pt idx="3">
                  <c:v>1386.0</c:v>
                </c:pt>
                <c:pt idx="4">
                  <c:v>4.0</c:v>
                </c:pt>
                <c:pt idx="5">
                  <c:v>167.0</c:v>
                </c:pt>
                <c:pt idx="6">
                  <c:v>4104.0</c:v>
                </c:pt>
              </c:numCache>
            </c:numRef>
          </c:val>
        </c:ser>
        <c:ser>
          <c:idx val="1"/>
          <c:order val="1"/>
          <c:tx>
            <c:strRef>
              <c:f>'Sheet1 (12)'!$C$1</c:f>
              <c:strCache>
                <c:ptCount val="1"/>
                <c:pt idx="0">
                  <c:v>2021</c:v>
                </c:pt>
              </c:strCache>
            </c:strRef>
          </c:tx>
          <c:spPr>
            <a:solidFill>
              <a:srgbClr val="ED7D31"/>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3"/>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4"/>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5"/>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6"/>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(12)'!$A$2:$A$8</c:f>
              <c:strCache>
                <c:ptCount val="7"/>
                <c:pt idx="0">
                  <c:v>升入高一级学校就读人数</c:v>
                </c:pt>
                <c:pt idx="1">
                  <c:v>对口单独招生</c:v>
                </c:pt>
                <c:pt idx="2">
                  <c:v>中本贯通升学人数</c:v>
                </c:pt>
                <c:pt idx="3">
                  <c:v>中高贯通升学人数</c:v>
                </c:pt>
                <c:pt idx="4">
                  <c:v>技能拔尖人才免试升学人数</c:v>
                </c:pt>
                <c:pt idx="5">
                  <c:v>升入本科院校人数</c:v>
                </c:pt>
                <c:pt idx="6">
                  <c:v>升入高职高专院校人数</c:v>
                </c:pt>
              </c:strCache>
            </c:strRef>
          </c:cat>
          <c:val>
            <c:numRef>
              <c:f>'Sheet1 (12)'!$C$2:$C$8</c:f>
              <c:numCache>
                <c:formatCode>General</c:formatCode>
                <c:ptCount val="7"/>
                <c:pt idx="0">
                  <c:v>6011.0</c:v>
                </c:pt>
                <c:pt idx="1">
                  <c:v>2633.0</c:v>
                </c:pt>
                <c:pt idx="2">
                  <c:v>185.0</c:v>
                </c:pt>
                <c:pt idx="3">
                  <c:v>1679.0</c:v>
                </c:pt>
                <c:pt idx="4">
                  <c:v>7.0</c:v>
                </c:pt>
                <c:pt idx="5">
                  <c:v>235.0</c:v>
                </c:pt>
                <c:pt idx="6">
                  <c:v>4946.0</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title>
          <c:tx>
            <c:rich>
              <a:bodyPr rot="-5400000" vert="horz"/>
              <a:lstStyle/>
              <a:p>
                <a:pPr>
                  <a:defRPr sz="1000" b="0" i="0" u="none" strike="noStrike" baseline="0">
                    <a:solidFill>
                      <a:srgbClr val="595959"/>
                    </a:solidFill>
                    <a:latin typeface="Times New Roman"/>
                    <a:ea typeface="宋体"/>
                    <a:cs typeface="Lucida Sans"/>
                  </a:defRPr>
                </a:pPr>
                <a:r>
                  <a:rPr lang="zh-CN"/>
                  <a:t>单位：人</a:t>
                </a:r>
              </a:p>
            </c:rich>
          </c:tx>
          <c:layout/>
          <c:overlay val="0"/>
          <c:spPr>
            <a:noFill/>
            <a:ln>
              <a:noFill/>
            </a:ln>
          </c:spPr>
        </c:title>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Lucida Sans"/>
              </a:defRPr>
            </a:pPr>
            <a:endParaRPr lang="zh-CN"/>
          </a:p>
        </c:txPr>
      </c:dTable>
      <c:spPr>
        <a:noFill/>
        <a:ln>
          <a:noFill/>
        </a:ln>
      </c:spPr>
    </c:plotArea>
    <c:plotVisOnly val="1"/>
    <c:dispBlanksAs val="gap"/>
    <c:showDLblsOverMax val="0"/>
  </c:chart>
  <c:spPr>
    <a:solidFill>
      <a:srgbClr val="FFFFFF"/>
    </a:solidFill>
    <a:ln>
      <a:noFill/>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 (14)'!$B$1</c:f>
              <c:strCache>
                <c:ptCount val="1"/>
                <c:pt idx="0">
                  <c:v>2020年</c:v>
                </c:pt>
              </c:strCache>
            </c:strRef>
          </c:tx>
          <c:spPr>
            <a:solidFill>
              <a:srgbClr val="4F81BD"/>
            </a:solidFill>
            <a:ln w="19050">
              <a:solidFill>
                <a:srgbClr val="FFFFFF"/>
              </a:solidFill>
              <a:prstDash val="solid"/>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3"/>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4"/>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(14)'!$A$2:$A$6</c:f>
              <c:strCache>
                <c:ptCount val="5"/>
                <c:pt idx="0">
                  <c:v>专业设置数</c:v>
                </c:pt>
                <c:pt idx="1">
                  <c:v>五年一贯制专业数</c:v>
                </c:pt>
                <c:pt idx="2">
                  <c:v>3+3专业数</c:v>
                </c:pt>
                <c:pt idx="3">
                  <c:v>3+4专业数</c:v>
                </c:pt>
                <c:pt idx="4">
                  <c:v>中高职衔接专业数</c:v>
                </c:pt>
              </c:strCache>
            </c:strRef>
          </c:cat>
          <c:val>
            <c:numRef>
              <c:f>'Sheet1 (14)'!$B$2:$B$6</c:f>
              <c:numCache>
                <c:formatCode>General</c:formatCode>
                <c:ptCount val="5"/>
                <c:pt idx="0">
                  <c:v>182.0</c:v>
                </c:pt>
                <c:pt idx="1">
                  <c:v>39.0</c:v>
                </c:pt>
                <c:pt idx="2">
                  <c:v>24.0</c:v>
                </c:pt>
                <c:pt idx="3">
                  <c:v>6.0</c:v>
                </c:pt>
                <c:pt idx="4">
                  <c:v>30.0</c:v>
                </c:pt>
              </c:numCache>
            </c:numRef>
          </c:val>
        </c:ser>
        <c:ser>
          <c:idx val="1"/>
          <c:order val="1"/>
          <c:tx>
            <c:strRef>
              <c:f>'Sheet1 (14)'!$C$1</c:f>
              <c:strCache>
                <c:ptCount val="1"/>
                <c:pt idx="0">
                  <c:v>2021年</c:v>
                </c:pt>
              </c:strCache>
            </c:strRef>
          </c:tx>
          <c:spPr>
            <a:solidFill>
              <a:srgbClr val="C0504D"/>
            </a:solidFill>
            <a:ln w="19050">
              <a:solidFill>
                <a:srgbClr val="FFFFFF"/>
              </a:solidFill>
              <a:prstDash val="solid"/>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3"/>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4"/>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(14)'!$A$2:$A$6</c:f>
              <c:strCache>
                <c:ptCount val="5"/>
                <c:pt idx="0">
                  <c:v>专业设置数</c:v>
                </c:pt>
                <c:pt idx="1">
                  <c:v>五年一贯制专业数</c:v>
                </c:pt>
                <c:pt idx="2">
                  <c:v>3+3专业数</c:v>
                </c:pt>
                <c:pt idx="3">
                  <c:v>3+4专业数</c:v>
                </c:pt>
                <c:pt idx="4">
                  <c:v>中高职衔接专业数</c:v>
                </c:pt>
              </c:strCache>
            </c:strRef>
          </c:cat>
          <c:val>
            <c:numRef>
              <c:f>'Sheet1 (14)'!$C$2:$C$6</c:f>
              <c:numCache>
                <c:formatCode>General</c:formatCode>
                <c:ptCount val="5"/>
                <c:pt idx="0">
                  <c:v>178.0</c:v>
                </c:pt>
                <c:pt idx="1">
                  <c:v>42.0</c:v>
                </c:pt>
                <c:pt idx="2">
                  <c:v>31.0</c:v>
                </c:pt>
                <c:pt idx="3">
                  <c:v>5.0</c:v>
                </c:pt>
                <c:pt idx="4">
                  <c:v>42.0</c:v>
                </c:pt>
              </c:numCache>
            </c:numRef>
          </c:val>
        </c:ser>
        <c:gapWidth val="150"/>
        <c:axId val="0"/>
        <c:axId val="1"/>
      </c:barChart>
      <c:catAx>
        <c:axId val="0"/>
        <c:scaling>
          <c:orientation val="minMax"/>
        </c:scaling>
        <c:delete val="0"/>
        <c:axPos val="l"/>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b"/>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Lucida Sans"/>
              </a:defRPr>
            </a:pPr>
            <a:endParaRPr lang="zh-CN"/>
          </a:p>
        </c:txPr>
      </c:dTable>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 (18)'!$B$1</c:f>
              <c:strCache>
                <c:ptCount val="1"/>
                <c:pt idx="0">
                  <c:v>2019-2020学年</c:v>
                </c:pt>
              </c:strCache>
            </c:strRef>
          </c:tx>
          <c:spPr>
            <a:solidFill>
              <a:srgbClr val="4F81B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(18)'!$A$2:$A$4</c:f>
              <c:strCache>
                <c:ptCount val="3"/>
                <c:pt idx="0">
                  <c:v>参加学考文化课考试人数</c:v>
                </c:pt>
                <c:pt idx="1">
                  <c:v>学考文化课考试合格人数</c:v>
                </c:pt>
                <c:pt idx="2">
                  <c:v>参加学考专业技能考试人数</c:v>
                </c:pt>
              </c:strCache>
            </c:strRef>
          </c:cat>
          <c:val>
            <c:numRef>
              <c:f>'Sheet1 (18)'!$B$2:$B$4</c:f>
              <c:numCache>
                <c:formatCode>General</c:formatCode>
                <c:ptCount val="3"/>
                <c:pt idx="0">
                  <c:v>9685.0</c:v>
                </c:pt>
                <c:pt idx="1">
                  <c:v>8217.0</c:v>
                </c:pt>
                <c:pt idx="2">
                  <c:v>9412.0</c:v>
                </c:pt>
              </c:numCache>
            </c:numRef>
          </c:val>
        </c:ser>
        <c:ser>
          <c:idx val="1"/>
          <c:order val="1"/>
          <c:tx>
            <c:strRef>
              <c:f>'Sheet1 (18)'!$C$1</c:f>
              <c:strCache>
                <c:ptCount val="1"/>
                <c:pt idx="0">
                  <c:v>2020-2021学年</c:v>
                </c:pt>
              </c:strCache>
            </c:strRef>
          </c:tx>
          <c:spPr>
            <a:solidFill>
              <a:srgbClr val="C0504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(18)'!$A$2:$A$4</c:f>
              <c:strCache>
                <c:ptCount val="3"/>
                <c:pt idx="0">
                  <c:v>参加学考文化课考试人数</c:v>
                </c:pt>
                <c:pt idx="1">
                  <c:v>学考文化课考试合格人数</c:v>
                </c:pt>
                <c:pt idx="2">
                  <c:v>参加学考专业技能考试人数</c:v>
                </c:pt>
              </c:strCache>
            </c:strRef>
          </c:cat>
          <c:val>
            <c:numRef>
              <c:f>'Sheet1 (18)'!$C$2:$C$4</c:f>
              <c:numCache>
                <c:formatCode>General</c:formatCode>
                <c:ptCount val="3"/>
                <c:pt idx="0">
                  <c:v>9435.0</c:v>
                </c:pt>
                <c:pt idx="1">
                  <c:v>8435.0</c:v>
                </c:pt>
                <c:pt idx="2">
                  <c:v>8470.0</c:v>
                </c:pt>
              </c:numCache>
            </c:numRef>
          </c:val>
        </c:ser>
        <c:overlap val="-27"/>
        <c:gapWidth val="219"/>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Lucida Sans"/>
              </a:defRPr>
            </a:pPr>
            <a:endParaRPr lang="zh-CN"/>
          </a:p>
        </c:txPr>
      </c:dTable>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 (19)'!$B$1</c:f>
              <c:strCache>
                <c:ptCount val="1"/>
                <c:pt idx="0">
                  <c:v>2019-2020学年</c:v>
                </c:pt>
              </c:strCache>
            </c:strRef>
          </c:tx>
          <c:spPr>
            <a:solidFill>
              <a:srgbClr val="4F81B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(19)'!$A$2:$A$4</c:f>
              <c:strCache>
                <c:ptCount val="3"/>
                <c:pt idx="0">
                  <c:v>校内实习实训基地工位数</c:v>
                </c:pt>
                <c:pt idx="1">
                  <c:v>校外实训基地工位数</c:v>
                </c:pt>
                <c:pt idx="2">
                  <c:v>实习工位数</c:v>
                </c:pt>
              </c:strCache>
            </c:strRef>
          </c:cat>
          <c:val>
            <c:numRef>
              <c:f>'Sheet1 (19)'!$B$2:$B$4</c:f>
              <c:numCache>
                <c:formatCode>General</c:formatCode>
                <c:ptCount val="3"/>
                <c:pt idx="0">
                  <c:v>33599.0</c:v>
                </c:pt>
                <c:pt idx="1">
                  <c:v>24348.0</c:v>
                </c:pt>
                <c:pt idx="2">
                  <c:v>40289.0</c:v>
                </c:pt>
              </c:numCache>
            </c:numRef>
          </c:val>
        </c:ser>
        <c:ser>
          <c:idx val="1"/>
          <c:order val="1"/>
          <c:tx>
            <c:strRef>
              <c:f>'Sheet1 (19)'!$C$1</c:f>
              <c:strCache>
                <c:ptCount val="1"/>
                <c:pt idx="0">
                  <c:v>2020-2021学年</c:v>
                </c:pt>
              </c:strCache>
            </c:strRef>
          </c:tx>
          <c:spPr>
            <a:solidFill>
              <a:srgbClr val="C0504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(19)'!$A$2:$A$4</c:f>
              <c:strCache>
                <c:ptCount val="3"/>
                <c:pt idx="0">
                  <c:v>校内实习实训基地工位数</c:v>
                </c:pt>
                <c:pt idx="1">
                  <c:v>校外实训基地工位数</c:v>
                </c:pt>
                <c:pt idx="2">
                  <c:v>实习工位数</c:v>
                </c:pt>
              </c:strCache>
            </c:strRef>
          </c:cat>
          <c:val>
            <c:numRef>
              <c:f>'Sheet1 (19)'!$C$2:$C$4</c:f>
              <c:numCache>
                <c:formatCode>General</c:formatCode>
                <c:ptCount val="3"/>
                <c:pt idx="0">
                  <c:v>33653.0</c:v>
                </c:pt>
                <c:pt idx="1">
                  <c:v>27698.0</c:v>
                </c:pt>
                <c:pt idx="2">
                  <c:v>40277.0</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title>
          <c:tx>
            <c:rich>
              <a:bodyPr rot="-5400000" vert="horz"/>
              <a:lstStyle/>
              <a:p>
                <a:pPr>
                  <a:defRPr sz="1000" b="0" i="0" u="none" strike="noStrike" baseline="0">
                    <a:solidFill>
                      <a:srgbClr val="595959"/>
                    </a:solidFill>
                    <a:latin typeface="Times New Roman"/>
                    <a:ea typeface="宋体"/>
                    <a:cs typeface="Lucida Sans"/>
                  </a:defRPr>
                </a:pPr>
                <a:r>
                  <a:rPr lang="zh-CN"/>
                  <a:t>单位：个</a:t>
                </a:r>
              </a:p>
            </c:rich>
          </c:tx>
          <c:layout/>
          <c:overlay val="0"/>
          <c:spPr>
            <a:noFill/>
            <a:ln>
              <a:noFill/>
            </a:ln>
          </c:spPr>
        </c:title>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Lucida Sans"/>
              </a:defRPr>
            </a:pPr>
            <a:endParaRPr lang="zh-CN"/>
          </a:p>
        </c:txPr>
      </c:dTable>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(21)'!$B$1</c:f>
              <c:strCache>
                <c:ptCount val="1"/>
                <c:pt idx="0">
                  <c:v>2021年</c:v>
                </c:pt>
              </c:strCache>
            </c:strRef>
          </c:tx>
          <c:spPr>
            <a:solidFill>
              <a:srgbClr val="4F81BD"/>
            </a:solidFill>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Lbls>
            <c:spPr>
              <a:noFill/>
              <a:ln>
                <a:noFill/>
              </a:ln>
            </c:spPr>
            <c:txPr>
              <a:bodyPr vert="horz"/>
              <a:lstStyle/>
              <a:p>
                <a:pPr>
                  <a:defRPr sz="900" b="0" i="0" u="none" strike="noStrike" baseline="0">
                    <a:solidFill>
                      <a:srgbClr val="404040"/>
                    </a:solidFill>
                    <a:latin typeface="Times New Roman"/>
                    <a:ea typeface="宋体"/>
                    <a:cs typeface="Lucida Sans"/>
                  </a:defRPr>
                </a:pPr>
                <a:endParaRPr lang="zh-CN"/>
              </a:p>
            </c:txPr>
            <c:numFmt formatCode="0.00%" sourceLinked="0"/>
            <c:dLbl>
              <c:idx val="0"/>
              <c:layout>
                <c:manualLayout>
                  <c:x val="0.014172659"/>
                  <c:y val="0.106607184"/>
                </c:manualLayout>
              </c:layout>
              <c:numFmt formatCode="0.00%" sourceLinked="0"/>
              <c:spPr>
                <a:noFill/>
                <a:ln>
                  <a:noFill/>
                </a:ln>
              </c:spPr>
              <c:txPr>
                <a:bodyPr vert="horz"/>
                <a:lstStyle/>
                <a:p>
                  <a:pPr>
                    <a:defRPr sz="900" b="0" i="0" u="none" strike="noStrike" baseline="0">
                      <a:solidFill>
                        <a:srgbClr val="404040"/>
                      </a:solidFill>
                      <a:latin typeface="Times New Roman"/>
                      <a:ea typeface="宋体"/>
                      <a:cs typeface="Lucida Sans"/>
                    </a:defRPr>
                  </a:pPr>
                  <a:endParaRPr lang="zh-CN"/>
                </a:p>
              </c:txPr>
              <c:showLegendKey val="0"/>
              <c:showVal val="0"/>
              <c:showCatName val="1"/>
              <c:showSerName val="0"/>
              <c:showPercent val="1"/>
              <c:showBubbleSize val="0"/>
              <c:separator>
</c:separator>
            </c:dLbl>
            <c:dLbl>
              <c:idx val="1"/>
              <c:layout>
                <c:manualLayout>
                  <c:x val="-0.043323394"/>
                  <c:y val="-0.061512884"/>
                </c:manualLayout>
              </c:layout>
              <c:numFmt formatCode="0.00%" sourceLinked="0"/>
              <c:spPr>
                <a:noFill/>
                <a:ln>
                  <a:noFill/>
                </a:ln>
              </c:spPr>
              <c:txPr>
                <a:bodyPr vert="horz"/>
                <a:lstStyle/>
                <a:p>
                  <a:pPr>
                    <a:defRPr sz="900" b="0" i="0" u="none" strike="noStrike" baseline="0">
                      <a:solidFill>
                        <a:srgbClr val="404040"/>
                      </a:solidFill>
                      <a:latin typeface="Times New Roman"/>
                      <a:ea typeface="宋体"/>
                      <a:cs typeface="Lucida Sans"/>
                    </a:defRPr>
                  </a:pPr>
                  <a:endParaRPr lang="zh-CN"/>
                </a:p>
              </c:txPr>
              <c:showLegendKey val="0"/>
              <c:showVal val="0"/>
              <c:showCatName val="1"/>
              <c:showSerName val="0"/>
              <c:showPercent val="1"/>
              <c:showBubbleSize val="0"/>
              <c:separator>
</c:separator>
            </c:dLbl>
            <c:dLbl>
              <c:idx val="2"/>
              <c:layout>
                <c:manualLayout>
                  <c:x val="-0.019535067"/>
                  <c:y val="0.020438638"/>
                </c:manualLayout>
              </c:layout>
              <c:numFmt formatCode="0.00%" sourceLinked="0"/>
              <c:spPr>
                <a:noFill/>
                <a:ln>
                  <a:noFill/>
                </a:ln>
              </c:spPr>
              <c:txPr>
                <a:bodyPr vert="horz"/>
                <a:lstStyle/>
                <a:p>
                  <a:pPr>
                    <a:defRPr sz="900" b="0" i="0" u="none" strike="noStrike" baseline="0">
                      <a:solidFill>
                        <a:srgbClr val="404040"/>
                      </a:solidFill>
                      <a:latin typeface="Times New Roman"/>
                      <a:ea typeface="宋体"/>
                      <a:cs typeface="Lucida Sans"/>
                    </a:defRPr>
                  </a:pPr>
                  <a:endParaRPr lang="zh-CN"/>
                </a:p>
              </c:txPr>
              <c:showLegendKey val="0"/>
              <c:showVal val="0"/>
              <c:showCatName val="1"/>
              <c:showSerName val="0"/>
              <c:showPercent val="1"/>
              <c:showBubbleSize val="0"/>
              <c:separator>
</c:separator>
            </c:dLbl>
            <c:dLbl>
              <c:idx val="3"/>
              <c:layout>
                <c:manualLayout>
                  <c:x val="0.112551026"/>
                  <c:y val="0.03504124"/>
                </c:manualLayout>
              </c:layout>
              <c:numFmt formatCode="0.00%" sourceLinked="0"/>
              <c:spPr>
                <a:noFill/>
                <a:ln>
                  <a:noFill/>
                </a:ln>
              </c:spPr>
              <c:txPr>
                <a:bodyPr vert="horz"/>
                <a:lstStyle/>
                <a:p>
                  <a:pPr>
                    <a:defRPr sz="900" b="0" i="0" u="none" strike="noStrike" baseline="0">
                      <a:solidFill>
                        <a:srgbClr val="404040"/>
                      </a:solidFill>
                      <a:latin typeface="Times New Roman"/>
                      <a:ea typeface="宋体"/>
                      <a:cs typeface="Lucida Sans"/>
                    </a:defRPr>
                  </a:pPr>
                  <a:endParaRPr lang="zh-CN"/>
                </a:p>
              </c:txPr>
              <c:showLegendKey val="0"/>
              <c:showVal val="0"/>
              <c:showCatName val="1"/>
              <c:showSerName val="0"/>
              <c:showPercent val="1"/>
              <c:showBubbleSize val="0"/>
              <c:separator>
</c:separator>
            </c:dLbl>
            <c:showLegendKey val="0"/>
            <c:showVal val="0"/>
            <c:showCatName val="1"/>
            <c:showSerName val="0"/>
            <c:showPercent val="1"/>
            <c:showBubbleSize val="0"/>
            <c:showLeaderLines val="1"/>
          </c:dLbls>
          <c:cat>
            <c:strRef>
              <c:f>'Sheet1 (21)'!$A$2:$A$5</c:f>
              <c:strCache>
                <c:ptCount val="4"/>
                <c:pt idx="0">
                  <c:v>新型职业农民培训服务</c:v>
                </c:pt>
                <c:pt idx="1">
                  <c:v>技术技能培训服务</c:v>
                </c:pt>
                <c:pt idx="2">
                  <c:v>退役军人培训服务</c:v>
                </c:pt>
                <c:pt idx="3">
                  <c:v>其他培训</c:v>
                </c:pt>
              </c:strCache>
            </c:strRef>
          </c:cat>
          <c:val>
            <c:numRef>
              <c:f>'Sheet1 (21)'!$B$2:$B$5</c:f>
              <c:numCache>
                <c:formatCode>General</c:formatCode>
                <c:ptCount val="4"/>
                <c:pt idx="0">
                  <c:v>6215.0</c:v>
                </c:pt>
                <c:pt idx="1">
                  <c:v>12228.0</c:v>
                </c:pt>
                <c:pt idx="2">
                  <c:v>2297.0</c:v>
                </c:pt>
                <c:pt idx="3">
                  <c:v>219.0</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 (22)'!$A$2</c:f>
              <c:strCache>
                <c:ptCount val="1"/>
                <c:pt idx="0">
                  <c:v>非学历职业培训服务人数</c:v>
                </c:pt>
              </c:strCache>
            </c:strRef>
          </c:tx>
          <c:spPr>
            <a:solidFill>
              <a:srgbClr val="4F81B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(22)'!$B$1:$C$1</c:f>
              <c:strCache>
                <c:ptCount val="2"/>
                <c:pt idx="0">
                  <c:v>2020年</c:v>
                </c:pt>
                <c:pt idx="1">
                  <c:v>2021年</c:v>
                </c:pt>
              </c:strCache>
            </c:strRef>
          </c:cat>
          <c:val>
            <c:numRef>
              <c:f>'Sheet1 (22)'!$B$2:$C$2</c:f>
              <c:numCache>
                <c:formatCode>General</c:formatCode>
                <c:ptCount val="2"/>
                <c:pt idx="0">
                  <c:v>126018.0</c:v>
                </c:pt>
                <c:pt idx="1">
                  <c:v>20959.0</c:v>
                </c:pt>
              </c:numCache>
            </c:numRef>
          </c:val>
        </c:ser>
        <c:ser>
          <c:idx val="1"/>
          <c:order val="1"/>
          <c:tx>
            <c:strRef>
              <c:f>'Sheet1 (22)'!$A$3</c:f>
              <c:strCache>
                <c:ptCount val="1"/>
                <c:pt idx="0">
                  <c:v>新型职业农民培训服务</c:v>
                </c:pt>
              </c:strCache>
            </c:strRef>
          </c:tx>
          <c:spPr>
            <a:solidFill>
              <a:srgbClr val="C0504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(22)'!$B$1:$C$1</c:f>
              <c:strCache>
                <c:ptCount val="2"/>
                <c:pt idx="0">
                  <c:v>2020年</c:v>
                </c:pt>
                <c:pt idx="1">
                  <c:v>2021年</c:v>
                </c:pt>
              </c:strCache>
            </c:strRef>
          </c:cat>
          <c:val>
            <c:numRef>
              <c:f>'Sheet1 (22)'!$B$3:$C$3</c:f>
              <c:numCache>
                <c:formatCode>General</c:formatCode>
                <c:ptCount val="2"/>
                <c:pt idx="0">
                  <c:v>111698.0</c:v>
                </c:pt>
                <c:pt idx="1">
                  <c:v>6215.0</c:v>
                </c:pt>
              </c:numCache>
            </c:numRef>
          </c:val>
        </c:ser>
        <c:ser>
          <c:idx val="2"/>
          <c:order val="2"/>
          <c:tx>
            <c:strRef>
              <c:f>'Sheet1 (22)'!$A$4</c:f>
              <c:strCache>
                <c:ptCount val="1"/>
                <c:pt idx="0">
                  <c:v>技术技能培训服务</c:v>
                </c:pt>
              </c:strCache>
            </c:strRef>
          </c:tx>
          <c:spPr>
            <a:solidFill>
              <a:srgbClr val="9BBB59"/>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(22)'!$B$1:$C$1</c:f>
              <c:strCache>
                <c:ptCount val="2"/>
                <c:pt idx="0">
                  <c:v>2020年</c:v>
                </c:pt>
                <c:pt idx="1">
                  <c:v>2021年</c:v>
                </c:pt>
              </c:strCache>
            </c:strRef>
          </c:cat>
          <c:val>
            <c:numRef>
              <c:f>'Sheet1 (22)'!$B$4:$C$4</c:f>
              <c:numCache>
                <c:formatCode>General</c:formatCode>
                <c:ptCount val="2"/>
                <c:pt idx="0">
                  <c:v>12621.0</c:v>
                </c:pt>
                <c:pt idx="1">
                  <c:v>12228.0</c:v>
                </c:pt>
              </c:numCache>
            </c:numRef>
          </c:val>
        </c:ser>
        <c:ser>
          <c:idx val="3"/>
          <c:order val="3"/>
          <c:tx>
            <c:strRef>
              <c:f>'Sheet1 (22)'!$A$5</c:f>
              <c:strCache>
                <c:ptCount val="1"/>
                <c:pt idx="0">
                  <c:v>退役军人培训服务</c:v>
                </c:pt>
              </c:strCache>
            </c:strRef>
          </c:tx>
          <c:spPr>
            <a:solidFill>
              <a:srgbClr val="8064A2"/>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(22)'!$B$1:$C$1</c:f>
              <c:strCache>
                <c:ptCount val="2"/>
                <c:pt idx="0">
                  <c:v>2020年</c:v>
                </c:pt>
                <c:pt idx="1">
                  <c:v>2021年</c:v>
                </c:pt>
              </c:strCache>
            </c:strRef>
          </c:cat>
          <c:val>
            <c:numRef>
              <c:f>'Sheet1 (22)'!$B$5:$C$5</c:f>
              <c:numCache>
                <c:formatCode>General</c:formatCode>
                <c:ptCount val="2"/>
                <c:pt idx="0">
                  <c:v>1699.0</c:v>
                </c:pt>
                <c:pt idx="1">
                  <c:v>2297.0</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title>
          <c:tx>
            <c:rich>
              <a:bodyPr rot="-5400000" vert="horz"/>
              <a:lstStyle/>
              <a:p>
                <a:pPr>
                  <a:defRPr sz="1000" b="0" i="0" u="none" strike="noStrike" baseline="0">
                    <a:solidFill>
                      <a:srgbClr val="595959"/>
                    </a:solidFill>
                    <a:latin typeface="Times New Roman"/>
                    <a:ea typeface="宋体"/>
                    <a:cs typeface="Lucida Sans"/>
                  </a:defRPr>
                </a:pPr>
                <a:r>
                  <a:rPr lang="zh-CN"/>
                  <a:t>单位：人</a:t>
                </a:r>
              </a:p>
            </c:rich>
          </c:tx>
          <c:layout/>
          <c:overlay val="0"/>
          <c:spPr>
            <a:noFill/>
            <a:ln>
              <a:noFill/>
            </a:ln>
          </c:spPr>
        </c:title>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Lucida Sans"/>
              </a:defRPr>
            </a:pPr>
            <a:endParaRPr lang="zh-CN"/>
          </a:p>
        </c:txPr>
      </c:dTable>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 (23)'!$B$1</c:f>
              <c:strCache>
                <c:ptCount val="1"/>
                <c:pt idx="0">
                  <c:v>2020年</c:v>
                </c:pt>
              </c:strCache>
            </c:strRef>
          </c:tx>
          <c:spPr>
            <a:solidFill>
              <a:srgbClr val="4F81B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(23)'!$A$2:$A$3</c:f>
              <c:strCache>
                <c:ptCount val="2"/>
                <c:pt idx="0">
                  <c:v>志愿者服务人次数</c:v>
                </c:pt>
                <c:pt idx="1">
                  <c:v>服务抗击新冠疫情志愿者人次数</c:v>
                </c:pt>
              </c:strCache>
            </c:strRef>
          </c:cat>
          <c:val>
            <c:numRef>
              <c:f>'Sheet1 (23)'!$B$2:$B$3</c:f>
              <c:numCache>
                <c:formatCode>General</c:formatCode>
                <c:ptCount val="2"/>
                <c:pt idx="0">
                  <c:v>14271.0</c:v>
                </c:pt>
                <c:pt idx="1">
                  <c:v>4057.0</c:v>
                </c:pt>
              </c:numCache>
            </c:numRef>
          </c:val>
        </c:ser>
        <c:ser>
          <c:idx val="1"/>
          <c:order val="1"/>
          <c:tx>
            <c:strRef>
              <c:f>'Sheet1 (23)'!$C$1</c:f>
              <c:strCache>
                <c:ptCount val="1"/>
                <c:pt idx="0">
                  <c:v>2021年</c:v>
                </c:pt>
              </c:strCache>
            </c:strRef>
          </c:tx>
          <c:spPr>
            <a:solidFill>
              <a:srgbClr val="C0504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(23)'!$A$2:$A$3</c:f>
              <c:strCache>
                <c:ptCount val="2"/>
                <c:pt idx="0">
                  <c:v>志愿者服务人次数</c:v>
                </c:pt>
                <c:pt idx="1">
                  <c:v>服务抗击新冠疫情志愿者人次数</c:v>
                </c:pt>
              </c:strCache>
            </c:strRef>
          </c:cat>
          <c:val>
            <c:numRef>
              <c:f>'Sheet1 (23)'!$C$2:$C$3</c:f>
              <c:numCache>
                <c:formatCode>General</c:formatCode>
                <c:ptCount val="2"/>
                <c:pt idx="0">
                  <c:v>23205.0</c:v>
                </c:pt>
                <c:pt idx="1">
                  <c:v>5002.0</c:v>
                </c:pt>
              </c:numCache>
            </c:numRef>
          </c:val>
        </c:ser>
        <c:gapWidth val="150"/>
        <c:axId val="0"/>
        <c:axId val="1"/>
      </c:barChart>
      <c:catAx>
        <c:axId val="0"/>
        <c:scaling>
          <c:orientation val="minMax"/>
        </c:scaling>
        <c:delete val="0"/>
        <c:axPos val="l"/>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b"/>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Lucida Sans"/>
              </a:defRPr>
            </a:pPr>
            <a:endParaRPr lang="zh-CN"/>
          </a:p>
        </c:txPr>
      </c:dTable>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 (24)'!$B$1</c:f>
              <c:strCache>
                <c:ptCount val="1"/>
                <c:pt idx="0">
                  <c:v>2020年</c:v>
                </c:pt>
              </c:strCache>
            </c:strRef>
          </c:tx>
          <c:spPr>
            <a:solidFill>
              <a:srgbClr val="4F81B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(24)'!$A$2</c:f>
              <c:strCache>
                <c:ptCount val="1"/>
                <c:pt idx="0">
                  <c:v>服务抗击新冠疫情物品价值</c:v>
                </c:pt>
              </c:strCache>
            </c:strRef>
          </c:cat>
          <c:val>
            <c:numRef>
              <c:f>Sheet1 (24)!$B$2</c:f>
              <c:numCache>
                <c:formatCode>General</c:formatCode>
                <c:ptCount val="1"/>
                <c:pt idx="0">
                  <c:v>117.47</c:v>
                </c:pt>
              </c:numCache>
            </c:numRef>
          </c:val>
        </c:ser>
        <c:ser>
          <c:idx val="1"/>
          <c:order val="1"/>
          <c:tx>
            <c:strRef>
              <c:f>'Sheet1 (24)'!$C$1</c:f>
              <c:strCache>
                <c:ptCount val="1"/>
                <c:pt idx="0">
                  <c:v>2021年</c:v>
                </c:pt>
              </c:strCache>
            </c:strRef>
          </c:tx>
          <c:spPr>
            <a:solidFill>
              <a:srgbClr val="C0504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trendline>
            <c:spPr>
              <a:ln w="19050">
                <a:solidFill>
                  <a:srgbClr val="C0504D"/>
                </a:solidFill>
                <a:prstDash val="sysDash"/>
              </a:ln>
            </c:spPr>
            <c:trendlineType val="linear"/>
            <c:dispRSqr val="0"/>
            <c:dispEq val="0"/>
          </c:trendline>
          <c:trendline>
            <c:spPr>
              <a:ln w="19050">
                <a:solidFill>
                  <a:srgbClr val="C0504D"/>
                </a:solidFill>
                <a:prstDash val="sysDash"/>
              </a:ln>
            </c:spPr>
            <c:trendlineType val="linear"/>
            <c:dispRSqr val="0"/>
            <c:dispEq val="0"/>
          </c:trendline>
          <c:cat>
            <c:strRef>
              <c:f>'Sheet1 (24)'!$A$2</c:f>
              <c:strCache>
                <c:ptCount val="1"/>
                <c:pt idx="0">
                  <c:v>服务抗击新冠疫情物品价值</c:v>
                </c:pt>
              </c:strCache>
            </c:strRef>
          </c:cat>
          <c:val>
            <c:numRef>
              <c:f>Sheet1 (24)!$C$2</c:f>
              <c:numCache>
                <c:formatCode>General</c:formatCode>
                <c:ptCount val="1"/>
                <c:pt idx="0">
                  <c:v>85.46</c:v>
                </c:pt>
              </c:numCache>
            </c:numRef>
          </c:val>
        </c:ser>
        <c:overlap val="-44"/>
        <c:gapWidth val="41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title>
          <c:tx>
            <c:rich>
              <a:bodyPr rot="-5400000" vert="horz"/>
              <a:lstStyle/>
              <a:p>
                <a:pPr>
                  <a:defRPr sz="1000" b="0" i="0" u="none" strike="noStrike" baseline="0">
                    <a:solidFill>
                      <a:srgbClr val="595959"/>
                    </a:solidFill>
                    <a:latin typeface="Times New Roman"/>
                    <a:ea typeface="宋体"/>
                    <a:cs typeface="Lucida Sans"/>
                  </a:defRPr>
                </a:pPr>
                <a:r>
                  <a:rPr lang="zh-CN"/>
                  <a:t>单位：万元</a:t>
                </a:r>
              </a:p>
            </c:rich>
          </c:tx>
          <c:layout/>
          <c:overlay val="0"/>
          <c:spPr>
            <a:noFill/>
            <a:ln>
              <a:noFill/>
            </a:ln>
          </c:spPr>
        </c:title>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Lucida Sans"/>
              </a:defRPr>
            </a:pPr>
            <a:endParaRPr lang="zh-CN"/>
          </a:p>
        </c:txPr>
      </c:dTable>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 (25)'!$B$1</c:f>
              <c:strCache>
                <c:ptCount val="1"/>
                <c:pt idx="0">
                  <c:v>2019-2020年</c:v>
                </c:pt>
              </c:strCache>
            </c:strRef>
          </c:tx>
          <c:spPr>
            <a:solidFill>
              <a:srgbClr val="4F81B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(25)'!$A$2:$A$4</c:f>
              <c:strCache>
                <c:ptCount val="3"/>
                <c:pt idx="0">
                  <c:v>年生均财政拨款水平</c:v>
                </c:pt>
                <c:pt idx="1">
                  <c:v>年生均财政专项经费</c:v>
                </c:pt>
                <c:pt idx="2">
                  <c:v>          年生均预算内教育经费</c:v>
                </c:pt>
              </c:strCache>
            </c:strRef>
          </c:cat>
          <c:val>
            <c:numRef>
              <c:f>'Sheet1 (25)'!$B$2:$B$4</c:f>
              <c:numCache>
                <c:formatCode>General</c:formatCode>
                <c:ptCount val="3"/>
                <c:pt idx="0">
                  <c:v>18115.67</c:v>
                </c:pt>
                <c:pt idx="1">
                  <c:v>3556.56</c:v>
                </c:pt>
                <c:pt idx="2">
                  <c:v>15174.8</c:v>
                </c:pt>
              </c:numCache>
            </c:numRef>
          </c:val>
        </c:ser>
        <c:ser>
          <c:idx val="1"/>
          <c:order val="1"/>
          <c:tx>
            <c:strRef>
              <c:f>'Sheet1 (25)'!$C$1</c:f>
              <c:strCache>
                <c:ptCount val="1"/>
                <c:pt idx="0">
                  <c:v>2020-2021年</c:v>
                </c:pt>
              </c:strCache>
            </c:strRef>
          </c:tx>
          <c:spPr>
            <a:solidFill>
              <a:srgbClr val="C0504D"/>
            </a:solidFill>
            <a:ln>
              <a:noFill/>
            </a:ln>
          </c:spPr>
          <c:invertIfNegative val="0"/>
          <c:dLbls>
            <c:dLbl>
              <c:idx val="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1"/>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
              <c:idx val="2"/>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0"/>
          </c:dLbls>
          <c:cat>
            <c:strRef>
              <c:f>'Sheet1 (25)'!$A$2:$A$4</c:f>
              <c:strCache>
                <c:ptCount val="3"/>
                <c:pt idx="0">
                  <c:v>年生均财政拨款水平</c:v>
                </c:pt>
                <c:pt idx="1">
                  <c:v>年生均财政专项经费</c:v>
                </c:pt>
                <c:pt idx="2">
                  <c:v>          年生均预算内教育经费</c:v>
                </c:pt>
              </c:strCache>
            </c:strRef>
          </c:cat>
          <c:val>
            <c:numRef>
              <c:f>'Sheet1 (25)'!$C$2:$C$4</c:f>
              <c:numCache>
                <c:formatCode>General</c:formatCode>
                <c:ptCount val="3"/>
                <c:pt idx="0">
                  <c:v>19170.64</c:v>
                </c:pt>
                <c:pt idx="1">
                  <c:v>5282.59</c:v>
                </c:pt>
                <c:pt idx="2">
                  <c:v>16035.88</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title>
          <c:tx>
            <c:rich>
              <a:bodyPr rot="-5400000" vert="horz"/>
              <a:lstStyle/>
              <a:p>
                <a:pPr>
                  <a:defRPr sz="1000" b="0" i="0" u="none" strike="noStrike" baseline="0">
                    <a:solidFill>
                      <a:srgbClr val="595959"/>
                    </a:solidFill>
                    <a:latin typeface="Times New Roman"/>
                    <a:ea typeface="宋体"/>
                    <a:cs typeface="Lucida Sans"/>
                  </a:defRPr>
                </a:pPr>
                <a:r>
                  <a:rPr lang="zh-CN"/>
                  <a:t>单位：元</a:t>
                </a:r>
              </a:p>
            </c:rich>
          </c:tx>
          <c:layout/>
          <c:overlay val="0"/>
          <c:spPr>
            <a:noFill/>
            <a:ln>
              <a:noFill/>
            </a:ln>
          </c:spPr>
        </c:title>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Lucida Sans"/>
              </a:defRPr>
            </a:pPr>
            <a:endParaRPr lang="zh-CN"/>
          </a:p>
        </c:txPr>
      </c:dTable>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122</TotalTime>
  <Application>Yozo_Office27021597764231179</Application>
  <Pages>43</Pages>
  <Words>17865</Words>
  <Characters>19473</Characters>
  <Lines>1124</Lines>
  <Paragraphs>539</Paragraphs>
  <CharactersWithSpaces>19707</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jyy</dc:creator>
  <cp:lastModifiedBy>taiji</cp:lastModifiedBy>
  <cp:revision>11</cp:revision>
  <cp:lastPrinted>2021-12-20T05:58:58Z</cp:lastPrinted>
  <dcterms:created xsi:type="dcterms:W3CDTF">2019-01-07T02:04:00Z</dcterms:created>
  <dcterms:modified xsi:type="dcterms:W3CDTF">2021-12-23T02:10:34Z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2052-11.1.0.11194</vt:lpwstr>
  </property>
  <property fmtid="{D5CDD505-2E9C-101B-9397-08002B2CF9AE}" pid="3" name="KSOSaveFontToCloudKey">
    <vt:lpwstr>352392342_btnclosed</vt:lpwstr>
  </property>
  <property fmtid="{D5CDD505-2E9C-101B-9397-08002B2CF9AE}" pid="4" name="ICV">
    <vt:lpwstr>5793AC0F9C8B4F04B55B5AFEDD9265D3</vt:lpwstr>
  </property>
</Properties>
</file>