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7B6EB">
      <w:pPr>
        <w:widowControl/>
        <w:overflowPunct/>
        <w:snapToGrid/>
        <w:spacing w:line="20" w:lineRule="exact"/>
        <w:ind w:firstLine="0" w:firstLineChars="0"/>
        <w:rPr>
          <w:rFonts w:ascii="Times New Roman" w:hAnsi="Times New Roman"/>
        </w:rPr>
      </w:pPr>
    </w:p>
    <w:p w14:paraId="57EFFF23">
      <w:pPr>
        <w:pStyle w:val="20"/>
        <w:spacing w:afterLines="50"/>
        <w:rPr>
          <w:rFonts w:ascii="Times New Roman" w:hAnsi="Times New Roman"/>
          <w:sz w:val="36"/>
          <w:szCs w:val="36"/>
        </w:rPr>
      </w:pPr>
      <w:bookmarkStart w:id="0" w:name="_Toc14072"/>
      <w:bookmarkStart w:id="1" w:name="_Toc7689"/>
      <w:r>
        <w:rPr>
          <w:rFonts w:hint="eastAsia" w:ascii="Times New Roman" w:hAnsi="Times New Roman"/>
          <w:sz w:val="36"/>
          <w:szCs w:val="36"/>
        </w:rPr>
        <w:t>（一）新增权力事项（1</w:t>
      </w:r>
      <w:r>
        <w:rPr>
          <w:rFonts w:hint="eastAsia" w:ascii="Times New Roman" w:hAnsi="Times New Roman"/>
          <w:sz w:val="36"/>
          <w:szCs w:val="36"/>
          <w:lang w:val="en-US" w:eastAsia="zh-CN"/>
        </w:rPr>
        <w:t>2</w:t>
      </w:r>
      <w:r>
        <w:rPr>
          <w:rFonts w:hint="eastAsia" w:ascii="Times New Roman" w:hAnsi="Times New Roman"/>
          <w:sz w:val="36"/>
          <w:szCs w:val="36"/>
        </w:rPr>
        <w:t>项）</w:t>
      </w:r>
      <w:bookmarkEnd w:id="0"/>
      <w:bookmarkEnd w:id="1"/>
    </w:p>
    <w:tbl>
      <w:tblPr>
        <w:tblStyle w:val="16"/>
        <w:tblW w:w="13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17"/>
        <w:gridCol w:w="1848"/>
        <w:gridCol w:w="1056"/>
        <w:gridCol w:w="547"/>
        <w:gridCol w:w="1061"/>
        <w:gridCol w:w="1092"/>
        <w:gridCol w:w="1050"/>
        <w:gridCol w:w="5066"/>
        <w:gridCol w:w="388"/>
      </w:tblGrid>
      <w:tr w14:paraId="3983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17" w:type="dxa"/>
            <w:vMerge w:val="restart"/>
            <w:vAlign w:val="center"/>
          </w:tcPr>
          <w:p w14:paraId="2A93B90C">
            <w:pPr>
              <w:pStyle w:val="20"/>
              <w:snapToGrid/>
              <w:spacing w:line="280" w:lineRule="exact"/>
              <w:ind w:left="-160" w:leftChars="-50" w:right="-160" w:rightChars="-50"/>
              <w:rPr>
                <w:rFonts w:ascii="Times New Roman" w:hAnsi="Times New Roman" w:eastAsia="方正黑体_GBK"/>
                <w:sz w:val="21"/>
                <w:szCs w:val="21"/>
              </w:rPr>
            </w:pPr>
            <w:r>
              <w:rPr>
                <w:rFonts w:ascii="Times New Roman" w:hAnsi="Times New Roman" w:eastAsia="方正黑体_GBK"/>
                <w:sz w:val="21"/>
                <w:szCs w:val="21"/>
              </w:rPr>
              <w:t>序号</w:t>
            </w:r>
          </w:p>
        </w:tc>
        <w:tc>
          <w:tcPr>
            <w:tcW w:w="517" w:type="dxa"/>
            <w:vMerge w:val="restart"/>
            <w:tcMar>
              <w:left w:w="28" w:type="dxa"/>
              <w:right w:w="28" w:type="dxa"/>
            </w:tcMar>
            <w:vAlign w:val="center"/>
          </w:tcPr>
          <w:p w14:paraId="12D42863">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目录</w:t>
            </w:r>
          </w:p>
          <w:p w14:paraId="215E60A8">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条线</w:t>
            </w:r>
          </w:p>
        </w:tc>
        <w:tc>
          <w:tcPr>
            <w:tcW w:w="2904" w:type="dxa"/>
            <w:gridSpan w:val="2"/>
            <w:tcMar>
              <w:left w:w="28" w:type="dxa"/>
              <w:right w:w="28" w:type="dxa"/>
            </w:tcMar>
            <w:vAlign w:val="center"/>
          </w:tcPr>
          <w:p w14:paraId="736A84A7">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权力名称</w:t>
            </w:r>
          </w:p>
        </w:tc>
        <w:tc>
          <w:tcPr>
            <w:tcW w:w="547" w:type="dxa"/>
            <w:vMerge w:val="restart"/>
            <w:tcMar>
              <w:left w:w="28" w:type="dxa"/>
              <w:right w:w="28" w:type="dxa"/>
            </w:tcMar>
            <w:vAlign w:val="center"/>
          </w:tcPr>
          <w:p w14:paraId="440C73DE">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权力</w:t>
            </w:r>
          </w:p>
          <w:p w14:paraId="73C82017">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类型</w:t>
            </w:r>
          </w:p>
        </w:tc>
        <w:tc>
          <w:tcPr>
            <w:tcW w:w="3203" w:type="dxa"/>
            <w:gridSpan w:val="3"/>
            <w:tcMar>
              <w:left w:w="28" w:type="dxa"/>
              <w:right w:w="28" w:type="dxa"/>
            </w:tcMar>
            <w:vAlign w:val="center"/>
          </w:tcPr>
          <w:p w14:paraId="4CC1474E">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行使层级和内容</w:t>
            </w:r>
          </w:p>
        </w:tc>
        <w:tc>
          <w:tcPr>
            <w:tcW w:w="5066" w:type="dxa"/>
            <w:vMerge w:val="restart"/>
            <w:tcMar>
              <w:left w:w="28" w:type="dxa"/>
              <w:right w:w="28" w:type="dxa"/>
            </w:tcMar>
            <w:vAlign w:val="center"/>
          </w:tcPr>
          <w:p w14:paraId="52405C99">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设定依据</w:t>
            </w:r>
          </w:p>
        </w:tc>
        <w:tc>
          <w:tcPr>
            <w:tcW w:w="388" w:type="dxa"/>
            <w:vMerge w:val="restart"/>
            <w:tcMar>
              <w:left w:w="28" w:type="dxa"/>
              <w:right w:w="28" w:type="dxa"/>
            </w:tcMar>
            <w:vAlign w:val="center"/>
          </w:tcPr>
          <w:p w14:paraId="0FE49DA9">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备注</w:t>
            </w:r>
          </w:p>
        </w:tc>
      </w:tr>
      <w:tr w14:paraId="5CB0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17" w:type="dxa"/>
            <w:vMerge w:val="continue"/>
            <w:vAlign w:val="center"/>
          </w:tcPr>
          <w:p w14:paraId="45497B35">
            <w:pPr>
              <w:pStyle w:val="20"/>
              <w:snapToGrid/>
              <w:spacing w:line="280" w:lineRule="exact"/>
              <w:ind w:left="-160" w:leftChars="-50" w:right="-160" w:rightChars="-50"/>
              <w:rPr>
                <w:rFonts w:ascii="Times New Roman" w:hAnsi="Times New Roman" w:eastAsia="方正黑体_GBK"/>
                <w:sz w:val="21"/>
                <w:szCs w:val="21"/>
              </w:rPr>
            </w:pPr>
          </w:p>
        </w:tc>
        <w:tc>
          <w:tcPr>
            <w:tcW w:w="517" w:type="dxa"/>
            <w:vMerge w:val="continue"/>
            <w:tcMar>
              <w:left w:w="28" w:type="dxa"/>
              <w:right w:w="28" w:type="dxa"/>
            </w:tcMar>
            <w:vAlign w:val="center"/>
          </w:tcPr>
          <w:p w14:paraId="4E21FB53">
            <w:pPr>
              <w:pStyle w:val="20"/>
              <w:snapToGrid/>
              <w:spacing w:line="280" w:lineRule="exact"/>
              <w:rPr>
                <w:rFonts w:ascii="Times New Roman" w:hAnsi="Times New Roman" w:eastAsia="方正黑体_GBK"/>
                <w:sz w:val="21"/>
                <w:szCs w:val="21"/>
              </w:rPr>
            </w:pPr>
          </w:p>
        </w:tc>
        <w:tc>
          <w:tcPr>
            <w:tcW w:w="1848" w:type="dxa"/>
            <w:tcMar>
              <w:left w:w="28" w:type="dxa"/>
              <w:right w:w="28" w:type="dxa"/>
            </w:tcMar>
            <w:vAlign w:val="center"/>
          </w:tcPr>
          <w:p w14:paraId="1C87F007">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项目名称</w:t>
            </w:r>
          </w:p>
        </w:tc>
        <w:tc>
          <w:tcPr>
            <w:tcW w:w="1056" w:type="dxa"/>
            <w:tcMar>
              <w:left w:w="28" w:type="dxa"/>
              <w:right w:w="28" w:type="dxa"/>
            </w:tcMar>
            <w:vAlign w:val="center"/>
          </w:tcPr>
          <w:p w14:paraId="3F7AA8FC">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子项</w:t>
            </w:r>
          </w:p>
          <w:p w14:paraId="7119ABF5">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名称</w:t>
            </w:r>
          </w:p>
        </w:tc>
        <w:tc>
          <w:tcPr>
            <w:tcW w:w="547" w:type="dxa"/>
            <w:vMerge w:val="continue"/>
            <w:tcMar>
              <w:left w:w="28" w:type="dxa"/>
              <w:right w:w="28" w:type="dxa"/>
            </w:tcMar>
            <w:vAlign w:val="center"/>
          </w:tcPr>
          <w:p w14:paraId="3EC21118">
            <w:pPr>
              <w:pStyle w:val="20"/>
              <w:snapToGrid/>
              <w:spacing w:line="280" w:lineRule="exact"/>
              <w:rPr>
                <w:rFonts w:ascii="Times New Roman" w:hAnsi="Times New Roman" w:eastAsia="方正黑体_GBK"/>
                <w:sz w:val="21"/>
                <w:szCs w:val="21"/>
              </w:rPr>
            </w:pPr>
          </w:p>
        </w:tc>
        <w:tc>
          <w:tcPr>
            <w:tcW w:w="1061" w:type="dxa"/>
            <w:tcMar>
              <w:left w:w="28" w:type="dxa"/>
              <w:right w:w="28" w:type="dxa"/>
            </w:tcMar>
            <w:vAlign w:val="center"/>
          </w:tcPr>
          <w:p w14:paraId="53E05282">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省级</w:t>
            </w:r>
          </w:p>
        </w:tc>
        <w:tc>
          <w:tcPr>
            <w:tcW w:w="1092" w:type="dxa"/>
            <w:tcMar>
              <w:left w:w="28" w:type="dxa"/>
              <w:right w:w="28" w:type="dxa"/>
            </w:tcMar>
            <w:vAlign w:val="center"/>
          </w:tcPr>
          <w:p w14:paraId="5BAFD0C2">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市级</w:t>
            </w:r>
          </w:p>
        </w:tc>
        <w:tc>
          <w:tcPr>
            <w:tcW w:w="1050" w:type="dxa"/>
            <w:tcMar>
              <w:left w:w="28" w:type="dxa"/>
              <w:right w:w="28" w:type="dxa"/>
            </w:tcMar>
            <w:vAlign w:val="center"/>
          </w:tcPr>
          <w:p w14:paraId="71885931">
            <w:pPr>
              <w:pStyle w:val="20"/>
              <w:snapToGrid/>
              <w:spacing w:line="280" w:lineRule="exact"/>
              <w:rPr>
                <w:rFonts w:ascii="Times New Roman" w:hAnsi="Times New Roman" w:eastAsia="方正黑体_GBK"/>
                <w:sz w:val="21"/>
                <w:szCs w:val="21"/>
              </w:rPr>
            </w:pPr>
            <w:r>
              <w:rPr>
                <w:rFonts w:hint="eastAsia" w:ascii="Times New Roman" w:hAnsi="Times New Roman" w:eastAsia="方正黑体_GBK"/>
                <w:sz w:val="21"/>
                <w:szCs w:val="21"/>
              </w:rPr>
              <w:t>县级</w:t>
            </w:r>
          </w:p>
        </w:tc>
        <w:tc>
          <w:tcPr>
            <w:tcW w:w="5066" w:type="dxa"/>
            <w:vMerge w:val="continue"/>
            <w:tcMar>
              <w:left w:w="28" w:type="dxa"/>
              <w:right w:w="28" w:type="dxa"/>
            </w:tcMar>
            <w:vAlign w:val="center"/>
          </w:tcPr>
          <w:p w14:paraId="7FA47A29">
            <w:pPr>
              <w:pStyle w:val="20"/>
              <w:snapToGrid/>
              <w:spacing w:line="280" w:lineRule="exact"/>
              <w:rPr>
                <w:rFonts w:ascii="Times New Roman" w:hAnsi="Times New Roman" w:eastAsia="方正黑体_GBK"/>
                <w:sz w:val="21"/>
                <w:szCs w:val="21"/>
              </w:rPr>
            </w:pPr>
          </w:p>
        </w:tc>
        <w:tc>
          <w:tcPr>
            <w:tcW w:w="388" w:type="dxa"/>
            <w:vMerge w:val="continue"/>
            <w:tcMar>
              <w:left w:w="28" w:type="dxa"/>
              <w:right w:w="28" w:type="dxa"/>
            </w:tcMar>
            <w:vAlign w:val="center"/>
          </w:tcPr>
          <w:p w14:paraId="51462EA6">
            <w:pPr>
              <w:pStyle w:val="20"/>
              <w:snapToGrid/>
              <w:spacing w:line="280" w:lineRule="exact"/>
              <w:rPr>
                <w:rFonts w:ascii="Times New Roman" w:hAnsi="Times New Roman" w:eastAsia="方正黑体_GBK"/>
                <w:sz w:val="21"/>
                <w:szCs w:val="21"/>
              </w:rPr>
            </w:pPr>
          </w:p>
        </w:tc>
      </w:tr>
      <w:tr w14:paraId="2DA7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1" w:hRule="atLeast"/>
          <w:jc w:val="center"/>
        </w:trPr>
        <w:tc>
          <w:tcPr>
            <w:tcW w:w="517" w:type="dxa"/>
            <w:vAlign w:val="center"/>
          </w:tcPr>
          <w:p w14:paraId="6B37E265">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1</w:t>
            </w:r>
          </w:p>
        </w:tc>
        <w:tc>
          <w:tcPr>
            <w:tcW w:w="517" w:type="dxa"/>
            <w:tcMar>
              <w:left w:w="28" w:type="dxa"/>
              <w:right w:w="28" w:type="dxa"/>
            </w:tcMar>
            <w:vAlign w:val="center"/>
          </w:tcPr>
          <w:p w14:paraId="3C400C54">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63FE92DA">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对网络平台运营者知道或者应当知道其用户通过即时通讯、网络会议、直播平台等方式违法开展线上（学科类）校外培训的处罚</w:t>
            </w:r>
          </w:p>
        </w:tc>
        <w:tc>
          <w:tcPr>
            <w:tcW w:w="1056" w:type="dxa"/>
            <w:tcMar>
              <w:left w:w="28" w:type="dxa"/>
              <w:right w:w="28" w:type="dxa"/>
            </w:tcMar>
            <w:vAlign w:val="center"/>
          </w:tcPr>
          <w:p w14:paraId="09CE56DD">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1F91EB9D">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02CAE70B">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w:t>
            </w:r>
          </w:p>
        </w:tc>
        <w:tc>
          <w:tcPr>
            <w:tcW w:w="1092" w:type="dxa"/>
            <w:tcMar>
              <w:left w:w="28" w:type="dxa"/>
              <w:right w:w="28" w:type="dxa"/>
            </w:tcMar>
            <w:vAlign w:val="center"/>
          </w:tcPr>
          <w:p w14:paraId="362F368E">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w:t>
            </w:r>
          </w:p>
        </w:tc>
        <w:tc>
          <w:tcPr>
            <w:tcW w:w="1050" w:type="dxa"/>
            <w:tcMar>
              <w:left w:w="28" w:type="dxa"/>
              <w:right w:w="28" w:type="dxa"/>
            </w:tcMar>
            <w:vAlign w:val="center"/>
          </w:tcPr>
          <w:p w14:paraId="46B0AC4A">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w:t>
            </w:r>
          </w:p>
        </w:tc>
        <w:tc>
          <w:tcPr>
            <w:tcW w:w="5066" w:type="dxa"/>
            <w:tcMar>
              <w:left w:w="28" w:type="dxa"/>
              <w:right w:w="28" w:type="dxa"/>
            </w:tcMar>
            <w:vAlign w:val="center"/>
          </w:tcPr>
          <w:p w14:paraId="423F894F">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305180D5">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第十九条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网络平台运营者知道或者应当知道其用户通过即时通讯、网络会议、直播平台等方式违法开展线上校外培训，仍为其提供服务的，适用前款规定处理。</w:t>
            </w:r>
          </w:p>
        </w:tc>
        <w:tc>
          <w:tcPr>
            <w:tcW w:w="388" w:type="dxa"/>
            <w:tcMar>
              <w:left w:w="28" w:type="dxa"/>
              <w:right w:w="28" w:type="dxa"/>
            </w:tcMar>
            <w:vAlign w:val="center"/>
          </w:tcPr>
          <w:p w14:paraId="300DC9D4">
            <w:pPr>
              <w:pStyle w:val="20"/>
              <w:snapToGrid/>
              <w:spacing w:line="280" w:lineRule="exact"/>
              <w:jc w:val="both"/>
              <w:rPr>
                <w:rFonts w:ascii="Times New Roman" w:hAnsi="Times New Roman" w:eastAsia="方正仿宋_GBK" w:cs="宋体"/>
                <w:sz w:val="21"/>
                <w:szCs w:val="21"/>
              </w:rPr>
            </w:pPr>
          </w:p>
        </w:tc>
      </w:tr>
      <w:tr w14:paraId="4EAC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5" w:hRule="atLeast"/>
          <w:jc w:val="center"/>
        </w:trPr>
        <w:tc>
          <w:tcPr>
            <w:tcW w:w="517" w:type="dxa"/>
            <w:vAlign w:val="center"/>
          </w:tcPr>
          <w:p w14:paraId="47124808">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2</w:t>
            </w:r>
          </w:p>
        </w:tc>
        <w:tc>
          <w:tcPr>
            <w:tcW w:w="517" w:type="dxa"/>
            <w:tcMar>
              <w:left w:w="28" w:type="dxa"/>
              <w:right w:w="28" w:type="dxa"/>
            </w:tcMar>
            <w:vAlign w:val="center"/>
          </w:tcPr>
          <w:p w14:paraId="2A7F0375">
            <w:pPr>
              <w:pStyle w:val="20"/>
              <w:snapToGrid/>
              <w:spacing w:line="280" w:lineRule="exact"/>
              <w:rPr>
                <w:rFonts w:ascii="Times New Roman" w:hAnsi="Times New Roman" w:eastAsia="方正仿宋_GBK" w:cs="宋体"/>
                <w:sz w:val="21"/>
                <w:szCs w:val="21"/>
              </w:rPr>
            </w:pPr>
            <w:r>
              <w:rPr>
                <w:rFonts w:hint="eastAsia" w:ascii="Times New Roman" w:hAnsi="Times New Roman" w:eastAsia="方正仿宋_GBK" w:cs="宋体"/>
                <w:sz w:val="21"/>
                <w:szCs w:val="21"/>
              </w:rPr>
              <w:t>教育</w:t>
            </w:r>
          </w:p>
          <w:p w14:paraId="7644EA40">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部门</w:t>
            </w:r>
          </w:p>
        </w:tc>
        <w:tc>
          <w:tcPr>
            <w:tcW w:w="1848" w:type="dxa"/>
            <w:tcMar>
              <w:left w:w="28" w:type="dxa"/>
              <w:right w:w="28" w:type="dxa"/>
            </w:tcMar>
            <w:vAlign w:val="center"/>
          </w:tcPr>
          <w:p w14:paraId="15ED7A2B">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对考生在国家教育考试中违反规定行为的处罚</w:t>
            </w:r>
          </w:p>
        </w:tc>
        <w:tc>
          <w:tcPr>
            <w:tcW w:w="1056" w:type="dxa"/>
            <w:tcMar>
              <w:left w:w="28" w:type="dxa"/>
              <w:right w:w="28" w:type="dxa"/>
            </w:tcMar>
            <w:vAlign w:val="center"/>
          </w:tcPr>
          <w:p w14:paraId="5C7FB3B3">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57FF4F84">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4798BB3D">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取消考试资格或者考试成绩、停考一至三年</w:t>
            </w:r>
          </w:p>
        </w:tc>
        <w:tc>
          <w:tcPr>
            <w:tcW w:w="1092" w:type="dxa"/>
            <w:tcMar>
              <w:left w:w="28" w:type="dxa"/>
              <w:right w:w="28" w:type="dxa"/>
            </w:tcMar>
            <w:vAlign w:val="center"/>
          </w:tcPr>
          <w:p w14:paraId="3F05A95B">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取消考试资格或者考试成绩、停考一至三年</w:t>
            </w:r>
          </w:p>
        </w:tc>
        <w:tc>
          <w:tcPr>
            <w:tcW w:w="1050" w:type="dxa"/>
            <w:tcMar>
              <w:left w:w="28" w:type="dxa"/>
              <w:right w:w="28" w:type="dxa"/>
            </w:tcMar>
            <w:vAlign w:val="center"/>
          </w:tcPr>
          <w:p w14:paraId="7F5E1BEC">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取消考试资格或者考试成绩、停考一至三年</w:t>
            </w:r>
          </w:p>
        </w:tc>
        <w:tc>
          <w:tcPr>
            <w:tcW w:w="5066" w:type="dxa"/>
            <w:tcMar>
              <w:left w:w="28" w:type="dxa"/>
              <w:right w:w="28" w:type="dxa"/>
            </w:tcMar>
            <w:vAlign w:val="center"/>
          </w:tcPr>
          <w:p w14:paraId="0763E851">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【法律】《中华人民共和国教育法》</w:t>
            </w:r>
          </w:p>
          <w:p w14:paraId="62DB7252">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七十九条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597B6199">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（一）非法获取考试试题或者答案的；</w:t>
            </w:r>
          </w:p>
          <w:p w14:paraId="219FCA1E">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（二）携带或者使用考试作弊器材、资料的；</w:t>
            </w:r>
          </w:p>
          <w:p w14:paraId="77B3FC04">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（三）抄袭他人答案的；</w:t>
            </w:r>
          </w:p>
          <w:p w14:paraId="5F7A770B">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（四）让他人代替自己参加考试的；</w:t>
            </w:r>
          </w:p>
          <w:p w14:paraId="1B3B6C1E">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（五）其他以不正当手段获得考试成绩的作弊行为。</w:t>
            </w:r>
          </w:p>
        </w:tc>
        <w:tc>
          <w:tcPr>
            <w:tcW w:w="388" w:type="dxa"/>
            <w:tcMar>
              <w:left w:w="28" w:type="dxa"/>
              <w:right w:w="28" w:type="dxa"/>
            </w:tcMar>
            <w:vAlign w:val="center"/>
          </w:tcPr>
          <w:p w14:paraId="29277554">
            <w:pPr>
              <w:pStyle w:val="20"/>
              <w:snapToGrid/>
              <w:spacing w:line="280" w:lineRule="exact"/>
              <w:jc w:val="both"/>
              <w:rPr>
                <w:rFonts w:ascii="Times New Roman" w:hAnsi="Times New Roman" w:eastAsia="方正仿宋_GBK" w:cs="宋体"/>
                <w:sz w:val="21"/>
                <w:szCs w:val="21"/>
              </w:rPr>
            </w:pPr>
          </w:p>
        </w:tc>
      </w:tr>
      <w:tr w14:paraId="62DB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jc w:val="center"/>
        </w:trPr>
        <w:tc>
          <w:tcPr>
            <w:tcW w:w="517" w:type="dxa"/>
            <w:vAlign w:val="center"/>
          </w:tcPr>
          <w:p w14:paraId="4AB0704F">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3</w:t>
            </w:r>
          </w:p>
        </w:tc>
        <w:tc>
          <w:tcPr>
            <w:tcW w:w="517" w:type="dxa"/>
            <w:tcMar>
              <w:left w:w="28" w:type="dxa"/>
              <w:right w:w="28" w:type="dxa"/>
            </w:tcMar>
            <w:vAlign w:val="center"/>
          </w:tcPr>
          <w:p w14:paraId="4ABAFCDC">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5AF7C044">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对（学科类）校外培训机构擅自组织或者参与组织面向3周岁以上学龄前儿童、中小学生的社会性竞赛活动的处罚</w:t>
            </w:r>
          </w:p>
        </w:tc>
        <w:tc>
          <w:tcPr>
            <w:tcW w:w="1056" w:type="dxa"/>
            <w:tcMar>
              <w:left w:w="28" w:type="dxa"/>
              <w:right w:w="28" w:type="dxa"/>
            </w:tcMar>
            <w:vAlign w:val="center"/>
          </w:tcPr>
          <w:p w14:paraId="57845E54">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14D4F8A8">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4AD88206">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警告，通报批评，罚款</w:t>
            </w:r>
          </w:p>
        </w:tc>
        <w:tc>
          <w:tcPr>
            <w:tcW w:w="1092" w:type="dxa"/>
            <w:tcMar>
              <w:left w:w="28" w:type="dxa"/>
              <w:right w:w="28" w:type="dxa"/>
            </w:tcMar>
            <w:vAlign w:val="center"/>
          </w:tcPr>
          <w:p w14:paraId="73BFC817">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警告，通报批评，罚款</w:t>
            </w:r>
          </w:p>
        </w:tc>
        <w:tc>
          <w:tcPr>
            <w:tcW w:w="1050" w:type="dxa"/>
            <w:tcMar>
              <w:left w:w="28" w:type="dxa"/>
              <w:right w:w="28" w:type="dxa"/>
            </w:tcMar>
            <w:vAlign w:val="center"/>
          </w:tcPr>
          <w:p w14:paraId="012942E6">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警告，通报批评，罚款</w:t>
            </w:r>
          </w:p>
        </w:tc>
        <w:tc>
          <w:tcPr>
            <w:tcW w:w="5066" w:type="dxa"/>
            <w:tcMar>
              <w:left w:w="28" w:type="dxa"/>
              <w:right w:w="28" w:type="dxa"/>
            </w:tcMar>
            <w:vAlign w:val="center"/>
          </w:tcPr>
          <w:p w14:paraId="74FFEC50">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62385F14">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第二十三条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tc>
        <w:tc>
          <w:tcPr>
            <w:tcW w:w="388" w:type="dxa"/>
            <w:tcMar>
              <w:left w:w="28" w:type="dxa"/>
              <w:right w:w="28" w:type="dxa"/>
            </w:tcMar>
            <w:vAlign w:val="center"/>
          </w:tcPr>
          <w:p w14:paraId="1D308899">
            <w:pPr>
              <w:pStyle w:val="20"/>
              <w:snapToGrid/>
              <w:spacing w:line="280" w:lineRule="exact"/>
              <w:jc w:val="both"/>
              <w:rPr>
                <w:rFonts w:ascii="Times New Roman" w:hAnsi="Times New Roman" w:eastAsia="方正仿宋_GBK" w:cs="宋体"/>
                <w:sz w:val="21"/>
                <w:szCs w:val="21"/>
              </w:rPr>
            </w:pPr>
          </w:p>
        </w:tc>
      </w:tr>
      <w:tr w14:paraId="5769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5" w:hRule="atLeast"/>
          <w:jc w:val="center"/>
        </w:trPr>
        <w:tc>
          <w:tcPr>
            <w:tcW w:w="517" w:type="dxa"/>
            <w:vAlign w:val="center"/>
          </w:tcPr>
          <w:p w14:paraId="05F80AB5">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4</w:t>
            </w:r>
          </w:p>
        </w:tc>
        <w:tc>
          <w:tcPr>
            <w:tcW w:w="517" w:type="dxa"/>
            <w:tcMar>
              <w:left w:w="28" w:type="dxa"/>
              <w:right w:w="28" w:type="dxa"/>
            </w:tcMar>
            <w:vAlign w:val="center"/>
          </w:tcPr>
          <w:p w14:paraId="66536008">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1733D181">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对（学科类）校外培训机构违反法律、行政法规和国家有关规定开展培训活动的处罚</w:t>
            </w:r>
          </w:p>
        </w:tc>
        <w:tc>
          <w:tcPr>
            <w:tcW w:w="1056" w:type="dxa"/>
            <w:tcMar>
              <w:left w:w="28" w:type="dxa"/>
              <w:right w:w="28" w:type="dxa"/>
            </w:tcMar>
            <w:vAlign w:val="center"/>
          </w:tcPr>
          <w:p w14:paraId="0497AD99">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1EA01299">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2E5198E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1092" w:type="dxa"/>
            <w:tcMar>
              <w:left w:w="28" w:type="dxa"/>
              <w:right w:w="28" w:type="dxa"/>
            </w:tcMar>
            <w:vAlign w:val="center"/>
          </w:tcPr>
          <w:p w14:paraId="7B9D24A4">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1050" w:type="dxa"/>
            <w:tcMar>
              <w:left w:w="28" w:type="dxa"/>
              <w:right w:w="28" w:type="dxa"/>
            </w:tcMar>
            <w:vAlign w:val="center"/>
          </w:tcPr>
          <w:p w14:paraId="73E6886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5066" w:type="dxa"/>
            <w:tcMar>
              <w:left w:w="28" w:type="dxa"/>
              <w:right w:w="28" w:type="dxa"/>
            </w:tcMar>
            <w:vAlign w:val="center"/>
          </w:tcPr>
          <w:p w14:paraId="43D8EDD7">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64A46223">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二十一条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14:paraId="28F1A2B5">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（一）违背国家教育方针，偏离社会主义办学方向，阻碍国家教育制度实施的；</w:t>
            </w:r>
          </w:p>
          <w:p w14:paraId="684A17F8">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（二）培训内容违反法律法规和国务院校外培训主管部门有关规定，影响未成年人身心健康的；</w:t>
            </w:r>
          </w:p>
          <w:p w14:paraId="0A4B47BD">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（三）超前超标开展学科类培训的；</w:t>
            </w:r>
          </w:p>
          <w:p w14:paraId="49001FD7">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（四）培训时间违反法律法规和国务院校外培训主管部门有关规定的；</w:t>
            </w:r>
          </w:p>
          <w:p w14:paraId="46EEC0F9">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（五）其他违反法律、行政法规和国家有关规定开展培训活动的。</w:t>
            </w:r>
          </w:p>
          <w:p w14:paraId="1E41CB8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校外培训机构有前款第（一）（二）项规定行为的，从重处罚。</w:t>
            </w:r>
          </w:p>
        </w:tc>
        <w:tc>
          <w:tcPr>
            <w:tcW w:w="388" w:type="dxa"/>
            <w:tcMar>
              <w:left w:w="28" w:type="dxa"/>
              <w:right w:w="28" w:type="dxa"/>
            </w:tcMar>
            <w:vAlign w:val="center"/>
          </w:tcPr>
          <w:p w14:paraId="150ECAA7">
            <w:pPr>
              <w:pStyle w:val="20"/>
              <w:snapToGrid/>
              <w:spacing w:line="280" w:lineRule="exact"/>
              <w:jc w:val="both"/>
              <w:rPr>
                <w:rFonts w:ascii="Times New Roman" w:hAnsi="Times New Roman" w:eastAsia="方正仿宋_GBK" w:cs="宋体"/>
                <w:sz w:val="21"/>
                <w:szCs w:val="21"/>
              </w:rPr>
            </w:pPr>
          </w:p>
        </w:tc>
      </w:tr>
      <w:tr w14:paraId="701D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14:paraId="349121BD">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5</w:t>
            </w:r>
          </w:p>
        </w:tc>
        <w:tc>
          <w:tcPr>
            <w:tcW w:w="517" w:type="dxa"/>
            <w:tcMar>
              <w:left w:w="28" w:type="dxa"/>
              <w:right w:w="28" w:type="dxa"/>
            </w:tcMar>
            <w:vAlign w:val="center"/>
          </w:tcPr>
          <w:p w14:paraId="3AD908B5">
            <w:pPr>
              <w:pStyle w:val="20"/>
              <w:snapToGrid/>
              <w:spacing w:line="25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116EB977">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对自然人、法人或者其他组织擅自举办（学科类）校外培训机构的处罚</w:t>
            </w:r>
          </w:p>
        </w:tc>
        <w:tc>
          <w:tcPr>
            <w:tcW w:w="1056" w:type="dxa"/>
            <w:tcMar>
              <w:left w:w="28" w:type="dxa"/>
              <w:right w:w="28" w:type="dxa"/>
            </w:tcMar>
            <w:vAlign w:val="center"/>
          </w:tcPr>
          <w:p w14:paraId="1C837BFE">
            <w:pPr>
              <w:pStyle w:val="20"/>
              <w:snapToGrid/>
              <w:spacing w:line="25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4F6B7CD7">
            <w:pPr>
              <w:pStyle w:val="20"/>
              <w:snapToGrid/>
              <w:spacing w:line="25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752D925F">
            <w:pPr>
              <w:pStyle w:val="20"/>
              <w:snapToGrid/>
              <w:spacing w:line="250" w:lineRule="exact"/>
              <w:jc w:val="both"/>
              <w:rPr>
                <w:rFonts w:ascii="Times New Roman" w:hAnsi="Times New Roman" w:eastAsia="方正书宋_GBK" w:cs="宋体"/>
                <w:sz w:val="21"/>
                <w:szCs w:val="21"/>
              </w:rPr>
            </w:pPr>
          </w:p>
        </w:tc>
        <w:tc>
          <w:tcPr>
            <w:tcW w:w="1092" w:type="dxa"/>
            <w:tcMar>
              <w:left w:w="28" w:type="dxa"/>
              <w:right w:w="28" w:type="dxa"/>
            </w:tcMar>
            <w:vAlign w:val="center"/>
          </w:tcPr>
          <w:p w14:paraId="12BC3BD0">
            <w:pPr>
              <w:pStyle w:val="20"/>
              <w:snapToGrid/>
              <w:spacing w:line="250" w:lineRule="exact"/>
              <w:jc w:val="both"/>
              <w:rPr>
                <w:rFonts w:ascii="Times New Roman" w:hAnsi="Times New Roman" w:eastAsia="方正书宋_GBK" w:cs="宋体"/>
                <w:sz w:val="21"/>
                <w:szCs w:val="21"/>
              </w:rPr>
            </w:pPr>
          </w:p>
        </w:tc>
        <w:tc>
          <w:tcPr>
            <w:tcW w:w="1050" w:type="dxa"/>
            <w:tcMar>
              <w:left w:w="28" w:type="dxa"/>
              <w:right w:w="28" w:type="dxa"/>
            </w:tcMar>
            <w:vAlign w:val="center"/>
          </w:tcPr>
          <w:p w14:paraId="36C9FE92">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责令停止举办，罚款</w:t>
            </w:r>
          </w:p>
        </w:tc>
        <w:tc>
          <w:tcPr>
            <w:tcW w:w="5066" w:type="dxa"/>
            <w:tcMar>
              <w:left w:w="28" w:type="dxa"/>
              <w:right w:w="28" w:type="dxa"/>
            </w:tcMar>
            <w:vAlign w:val="center"/>
          </w:tcPr>
          <w:p w14:paraId="6C22D766">
            <w:pPr>
              <w:pStyle w:val="20"/>
              <w:snapToGrid/>
              <w:spacing w:line="25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4A88DE1F">
            <w:pPr>
              <w:pStyle w:val="20"/>
              <w:snapToGrid/>
              <w:spacing w:line="25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十七条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14:paraId="0C7C8D90">
            <w:pPr>
              <w:pStyle w:val="20"/>
              <w:snapToGrid/>
              <w:spacing w:line="25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（一）线下培训有专门的培训场所，线上培训有特定的网站或者应用程序；</w:t>
            </w:r>
          </w:p>
          <w:p w14:paraId="206DF6ED">
            <w:pPr>
              <w:pStyle w:val="20"/>
              <w:snapToGrid/>
              <w:spacing w:line="25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（二）有2名以上培训从业人员；</w:t>
            </w:r>
          </w:p>
          <w:p w14:paraId="6F53961C">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（三）有相应的组织机构和分工。</w:t>
            </w:r>
          </w:p>
        </w:tc>
        <w:tc>
          <w:tcPr>
            <w:tcW w:w="388" w:type="dxa"/>
            <w:tcMar>
              <w:left w:w="28" w:type="dxa"/>
              <w:right w:w="28" w:type="dxa"/>
            </w:tcMar>
            <w:vAlign w:val="center"/>
          </w:tcPr>
          <w:p w14:paraId="6E195290">
            <w:pPr>
              <w:pStyle w:val="20"/>
              <w:snapToGrid/>
              <w:spacing w:line="250" w:lineRule="exact"/>
              <w:jc w:val="both"/>
              <w:rPr>
                <w:rFonts w:ascii="Times New Roman" w:hAnsi="Times New Roman" w:eastAsia="方正仿宋_GBK" w:cs="宋体"/>
                <w:sz w:val="21"/>
                <w:szCs w:val="21"/>
              </w:rPr>
            </w:pPr>
          </w:p>
        </w:tc>
      </w:tr>
      <w:tr w14:paraId="1792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7" w:type="dxa"/>
            <w:vAlign w:val="center"/>
          </w:tcPr>
          <w:p w14:paraId="3D9BCDBC">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6</w:t>
            </w:r>
          </w:p>
        </w:tc>
        <w:tc>
          <w:tcPr>
            <w:tcW w:w="517" w:type="dxa"/>
            <w:tcMar>
              <w:left w:w="28" w:type="dxa"/>
              <w:right w:w="28" w:type="dxa"/>
            </w:tcMar>
            <w:vAlign w:val="center"/>
          </w:tcPr>
          <w:p w14:paraId="7293AE92">
            <w:pPr>
              <w:pStyle w:val="20"/>
              <w:snapToGrid/>
              <w:spacing w:line="25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4B100E72">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对违规取得入学资格的处罚</w:t>
            </w:r>
          </w:p>
        </w:tc>
        <w:tc>
          <w:tcPr>
            <w:tcW w:w="1056" w:type="dxa"/>
            <w:tcMar>
              <w:left w:w="28" w:type="dxa"/>
              <w:right w:w="28" w:type="dxa"/>
            </w:tcMar>
            <w:vAlign w:val="center"/>
          </w:tcPr>
          <w:p w14:paraId="6B58D7BE">
            <w:pPr>
              <w:pStyle w:val="20"/>
              <w:snapToGrid/>
              <w:spacing w:line="25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7A090A67">
            <w:pPr>
              <w:pStyle w:val="20"/>
              <w:snapToGrid/>
              <w:spacing w:line="25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757424E1">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撤销入学资格、撤销证书、没收违法所得</w:t>
            </w:r>
          </w:p>
        </w:tc>
        <w:tc>
          <w:tcPr>
            <w:tcW w:w="1092" w:type="dxa"/>
            <w:tcMar>
              <w:left w:w="28" w:type="dxa"/>
              <w:right w:w="28" w:type="dxa"/>
            </w:tcMar>
            <w:vAlign w:val="center"/>
          </w:tcPr>
          <w:p w14:paraId="22F1A89F">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撤销入学资格、撤销证书、没收违法所得</w:t>
            </w:r>
          </w:p>
        </w:tc>
        <w:tc>
          <w:tcPr>
            <w:tcW w:w="1050" w:type="dxa"/>
            <w:tcMar>
              <w:left w:w="28" w:type="dxa"/>
              <w:right w:w="28" w:type="dxa"/>
            </w:tcMar>
            <w:vAlign w:val="center"/>
          </w:tcPr>
          <w:p w14:paraId="2EC70F22">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撤销入学资格、撤销证书、没收违法所得</w:t>
            </w:r>
          </w:p>
        </w:tc>
        <w:tc>
          <w:tcPr>
            <w:tcW w:w="5066" w:type="dxa"/>
            <w:tcMar>
              <w:left w:w="28" w:type="dxa"/>
              <w:right w:w="28" w:type="dxa"/>
            </w:tcMar>
            <w:vAlign w:val="center"/>
          </w:tcPr>
          <w:p w14:paraId="192C5996">
            <w:pPr>
              <w:pStyle w:val="20"/>
              <w:snapToGrid/>
              <w:spacing w:line="25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【法律】《中华人民共和国教育法》</w:t>
            </w:r>
          </w:p>
          <w:p w14:paraId="630201BF">
            <w:pPr>
              <w:pStyle w:val="20"/>
              <w:snapToGrid/>
              <w:spacing w:line="25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第七十七条第二款第三款第四款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tc>
        <w:tc>
          <w:tcPr>
            <w:tcW w:w="388" w:type="dxa"/>
            <w:tcMar>
              <w:left w:w="28" w:type="dxa"/>
              <w:right w:w="28" w:type="dxa"/>
            </w:tcMar>
            <w:vAlign w:val="center"/>
          </w:tcPr>
          <w:p w14:paraId="37343C61">
            <w:pPr>
              <w:pStyle w:val="20"/>
              <w:snapToGrid/>
              <w:spacing w:line="250" w:lineRule="exact"/>
              <w:jc w:val="both"/>
              <w:rPr>
                <w:rFonts w:ascii="Times New Roman" w:hAnsi="Times New Roman" w:eastAsia="方正仿宋_GBK" w:cs="宋体"/>
                <w:sz w:val="21"/>
                <w:szCs w:val="21"/>
              </w:rPr>
            </w:pPr>
          </w:p>
        </w:tc>
      </w:tr>
      <w:tr w14:paraId="58E9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2" w:hRule="atLeast"/>
          <w:jc w:val="center"/>
        </w:trPr>
        <w:tc>
          <w:tcPr>
            <w:tcW w:w="517" w:type="dxa"/>
            <w:vAlign w:val="center"/>
          </w:tcPr>
          <w:p w14:paraId="3598D999">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7</w:t>
            </w:r>
          </w:p>
        </w:tc>
        <w:tc>
          <w:tcPr>
            <w:tcW w:w="517" w:type="dxa"/>
            <w:tcMar>
              <w:left w:w="28" w:type="dxa"/>
              <w:right w:w="28" w:type="dxa"/>
            </w:tcMar>
            <w:vAlign w:val="center"/>
          </w:tcPr>
          <w:p w14:paraId="78EDB355">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66707D0B">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对自然人、法人或者其他组织变相开展学科类校外培训的处罚</w:t>
            </w:r>
          </w:p>
        </w:tc>
        <w:tc>
          <w:tcPr>
            <w:tcW w:w="1056" w:type="dxa"/>
            <w:tcMar>
              <w:left w:w="28" w:type="dxa"/>
              <w:right w:w="28" w:type="dxa"/>
            </w:tcMar>
            <w:vAlign w:val="center"/>
          </w:tcPr>
          <w:p w14:paraId="0F4B2B93">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63AFCF52">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22D92274">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警告，通报批评，罚款</w:t>
            </w:r>
          </w:p>
        </w:tc>
        <w:tc>
          <w:tcPr>
            <w:tcW w:w="1092" w:type="dxa"/>
            <w:tcMar>
              <w:left w:w="28" w:type="dxa"/>
              <w:right w:w="28" w:type="dxa"/>
            </w:tcMar>
            <w:vAlign w:val="center"/>
          </w:tcPr>
          <w:p w14:paraId="4558E172">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警告，通报批评，罚款</w:t>
            </w:r>
          </w:p>
        </w:tc>
        <w:tc>
          <w:tcPr>
            <w:tcW w:w="1050" w:type="dxa"/>
            <w:tcMar>
              <w:left w:w="28" w:type="dxa"/>
              <w:right w:w="28" w:type="dxa"/>
            </w:tcMar>
            <w:vAlign w:val="center"/>
          </w:tcPr>
          <w:p w14:paraId="0256ECF3">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警告，通报批评，罚款</w:t>
            </w:r>
          </w:p>
        </w:tc>
        <w:tc>
          <w:tcPr>
            <w:tcW w:w="5066" w:type="dxa"/>
            <w:tcMar>
              <w:left w:w="28" w:type="dxa"/>
              <w:right w:w="28" w:type="dxa"/>
            </w:tcMar>
            <w:vAlign w:val="center"/>
          </w:tcPr>
          <w:p w14:paraId="08222B2D">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0C95E527">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十八条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w:t>
            </w:r>
          </w:p>
          <w:p w14:paraId="50B8A195">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（一）通过即时通讯、网络会议、直播平台等方式有偿开展校外培训的；</w:t>
            </w:r>
          </w:p>
          <w:p w14:paraId="7DB513C0">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（二）利用居民楼、酒店、咖啡厅等场所有偿组织开展“一对一”“一对多”等校外培训的；</w:t>
            </w:r>
          </w:p>
          <w:p w14:paraId="17E648A1">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（三）以咨询、文化传播、素质拓展、竞赛、思维训练、家政服务、家庭教育指导、住家教师、众筹私教、游学、研学、冬夏令营、托管等名义有偿开展校外培训的；</w:t>
            </w:r>
          </w:p>
          <w:p w14:paraId="0A25214B">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（四）其他未经审批开展学科类校外培训，尚不符合本办法第十七条规定条件的。</w:t>
            </w:r>
          </w:p>
        </w:tc>
        <w:tc>
          <w:tcPr>
            <w:tcW w:w="388" w:type="dxa"/>
            <w:tcMar>
              <w:left w:w="28" w:type="dxa"/>
              <w:right w:w="28" w:type="dxa"/>
            </w:tcMar>
            <w:vAlign w:val="center"/>
          </w:tcPr>
          <w:p w14:paraId="431A388E">
            <w:pPr>
              <w:pStyle w:val="20"/>
              <w:snapToGrid/>
              <w:spacing w:line="280" w:lineRule="exact"/>
              <w:jc w:val="both"/>
              <w:rPr>
                <w:rFonts w:ascii="Times New Roman" w:hAnsi="Times New Roman" w:eastAsia="方正仿宋_GBK" w:cs="宋体"/>
                <w:sz w:val="21"/>
                <w:szCs w:val="21"/>
              </w:rPr>
            </w:pPr>
          </w:p>
        </w:tc>
      </w:tr>
      <w:tr w14:paraId="5223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517" w:type="dxa"/>
            <w:vAlign w:val="center"/>
          </w:tcPr>
          <w:p w14:paraId="49984E45">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8</w:t>
            </w:r>
          </w:p>
        </w:tc>
        <w:tc>
          <w:tcPr>
            <w:tcW w:w="517" w:type="dxa"/>
            <w:tcMar>
              <w:left w:w="28" w:type="dxa"/>
              <w:right w:w="28" w:type="dxa"/>
            </w:tcMar>
            <w:vAlign w:val="center"/>
          </w:tcPr>
          <w:p w14:paraId="1AB0B179">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084049D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对自然人、法人或者其他组织知道或者应当知道违法校外培训活动的情况存在，仍为其开展（学科类）校外培训提供场所的处罚</w:t>
            </w:r>
          </w:p>
        </w:tc>
        <w:tc>
          <w:tcPr>
            <w:tcW w:w="1056" w:type="dxa"/>
            <w:tcMar>
              <w:left w:w="28" w:type="dxa"/>
              <w:right w:w="28" w:type="dxa"/>
            </w:tcMar>
            <w:vAlign w:val="center"/>
          </w:tcPr>
          <w:p w14:paraId="6EBB2405">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0B04C204">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42E8B376">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w:t>
            </w:r>
          </w:p>
        </w:tc>
        <w:tc>
          <w:tcPr>
            <w:tcW w:w="1092" w:type="dxa"/>
            <w:tcMar>
              <w:left w:w="28" w:type="dxa"/>
              <w:right w:w="28" w:type="dxa"/>
            </w:tcMar>
            <w:vAlign w:val="center"/>
          </w:tcPr>
          <w:p w14:paraId="09BFF27A">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w:t>
            </w:r>
          </w:p>
        </w:tc>
        <w:tc>
          <w:tcPr>
            <w:tcW w:w="1050" w:type="dxa"/>
            <w:tcMar>
              <w:left w:w="28" w:type="dxa"/>
              <w:right w:w="28" w:type="dxa"/>
            </w:tcMar>
            <w:vAlign w:val="center"/>
          </w:tcPr>
          <w:p w14:paraId="3CBB9553">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警告，通报批评</w:t>
            </w:r>
          </w:p>
        </w:tc>
        <w:tc>
          <w:tcPr>
            <w:tcW w:w="5066" w:type="dxa"/>
            <w:tcMar>
              <w:left w:w="28" w:type="dxa"/>
              <w:right w:w="28" w:type="dxa"/>
            </w:tcMar>
            <w:vAlign w:val="center"/>
          </w:tcPr>
          <w:p w14:paraId="2441A1B6">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229E49B5">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第十九条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tc>
        <w:tc>
          <w:tcPr>
            <w:tcW w:w="388" w:type="dxa"/>
            <w:tcMar>
              <w:left w:w="28" w:type="dxa"/>
              <w:right w:w="28" w:type="dxa"/>
            </w:tcMar>
            <w:vAlign w:val="center"/>
          </w:tcPr>
          <w:p w14:paraId="4FE0D0BA">
            <w:pPr>
              <w:pStyle w:val="20"/>
              <w:snapToGrid/>
              <w:spacing w:line="280" w:lineRule="exact"/>
              <w:jc w:val="both"/>
              <w:rPr>
                <w:rFonts w:ascii="Times New Roman" w:hAnsi="Times New Roman" w:eastAsia="方正仿宋_GBK" w:cs="宋体"/>
                <w:sz w:val="21"/>
                <w:szCs w:val="21"/>
              </w:rPr>
            </w:pPr>
          </w:p>
        </w:tc>
      </w:tr>
      <w:tr w14:paraId="20B3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3" w:hRule="atLeast"/>
          <w:jc w:val="center"/>
        </w:trPr>
        <w:tc>
          <w:tcPr>
            <w:tcW w:w="517" w:type="dxa"/>
            <w:vAlign w:val="center"/>
          </w:tcPr>
          <w:p w14:paraId="56FA642B">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9</w:t>
            </w:r>
          </w:p>
        </w:tc>
        <w:tc>
          <w:tcPr>
            <w:tcW w:w="517" w:type="dxa"/>
            <w:tcMar>
              <w:left w:w="28" w:type="dxa"/>
              <w:right w:w="28" w:type="dxa"/>
            </w:tcMar>
            <w:vAlign w:val="center"/>
          </w:tcPr>
          <w:p w14:paraId="7E08F139">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40037B96">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对有违法行为的（学科类）校外培训机构决策机构负责人、行政负责人及直接责任人的处罚</w:t>
            </w:r>
          </w:p>
        </w:tc>
        <w:tc>
          <w:tcPr>
            <w:tcW w:w="1056" w:type="dxa"/>
            <w:tcMar>
              <w:left w:w="28" w:type="dxa"/>
              <w:right w:w="28" w:type="dxa"/>
            </w:tcMar>
            <w:vAlign w:val="center"/>
          </w:tcPr>
          <w:p w14:paraId="765809A9">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67092A74">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0F367399">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警告，限制从业</w:t>
            </w:r>
          </w:p>
        </w:tc>
        <w:tc>
          <w:tcPr>
            <w:tcW w:w="1092" w:type="dxa"/>
            <w:tcMar>
              <w:left w:w="28" w:type="dxa"/>
              <w:right w:w="28" w:type="dxa"/>
            </w:tcMar>
            <w:vAlign w:val="center"/>
          </w:tcPr>
          <w:p w14:paraId="09F151C2">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警告，限制从业</w:t>
            </w:r>
          </w:p>
        </w:tc>
        <w:tc>
          <w:tcPr>
            <w:tcW w:w="1050" w:type="dxa"/>
            <w:tcMar>
              <w:left w:w="28" w:type="dxa"/>
              <w:right w:w="28" w:type="dxa"/>
            </w:tcMar>
            <w:vAlign w:val="center"/>
          </w:tcPr>
          <w:p w14:paraId="3B49DF3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警告，限制从业</w:t>
            </w:r>
          </w:p>
        </w:tc>
        <w:tc>
          <w:tcPr>
            <w:tcW w:w="5066" w:type="dxa"/>
            <w:tcMar>
              <w:left w:w="28" w:type="dxa"/>
              <w:right w:w="28" w:type="dxa"/>
            </w:tcMar>
            <w:vAlign w:val="center"/>
          </w:tcPr>
          <w:p w14:paraId="4C5BD31A">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【行政法规】《中华人民共和国民办教育促进法实施条例》（国务院令第741号）</w:t>
            </w:r>
          </w:p>
          <w:p w14:paraId="7639FE99">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六十四条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14:paraId="494FAC82">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3E09ACF6">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第二十四条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tc>
        <w:tc>
          <w:tcPr>
            <w:tcW w:w="388" w:type="dxa"/>
            <w:tcMar>
              <w:left w:w="28" w:type="dxa"/>
              <w:right w:w="28" w:type="dxa"/>
            </w:tcMar>
            <w:vAlign w:val="center"/>
          </w:tcPr>
          <w:p w14:paraId="354ACECE">
            <w:pPr>
              <w:pStyle w:val="20"/>
              <w:snapToGrid/>
              <w:spacing w:line="280" w:lineRule="exact"/>
              <w:jc w:val="both"/>
              <w:rPr>
                <w:rFonts w:ascii="Times New Roman" w:hAnsi="Times New Roman" w:eastAsia="方正仿宋_GBK" w:cs="宋体"/>
                <w:sz w:val="21"/>
                <w:szCs w:val="21"/>
              </w:rPr>
            </w:pPr>
          </w:p>
        </w:tc>
      </w:tr>
      <w:tr w14:paraId="20ED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dxa"/>
            <w:vAlign w:val="center"/>
          </w:tcPr>
          <w:p w14:paraId="4EDC821E">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10</w:t>
            </w:r>
          </w:p>
        </w:tc>
        <w:tc>
          <w:tcPr>
            <w:tcW w:w="517" w:type="dxa"/>
            <w:tcMar>
              <w:left w:w="28" w:type="dxa"/>
              <w:right w:w="28" w:type="dxa"/>
            </w:tcMar>
            <w:vAlign w:val="center"/>
          </w:tcPr>
          <w:p w14:paraId="2F62153D">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48519F8C">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对（学科类）校外培训机构举办者及实际控制人、决策机构或者监督机构组成人员违反民办教育促进法实施条例第六十二条的处罚</w:t>
            </w:r>
          </w:p>
        </w:tc>
        <w:tc>
          <w:tcPr>
            <w:tcW w:w="1056" w:type="dxa"/>
            <w:tcMar>
              <w:left w:w="28" w:type="dxa"/>
              <w:right w:w="28" w:type="dxa"/>
            </w:tcMar>
            <w:vAlign w:val="center"/>
          </w:tcPr>
          <w:p w14:paraId="301462FF">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594E63E5">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35D17A02">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没收违法所得，限制从业</w:t>
            </w:r>
          </w:p>
        </w:tc>
        <w:tc>
          <w:tcPr>
            <w:tcW w:w="1092" w:type="dxa"/>
            <w:tcMar>
              <w:left w:w="28" w:type="dxa"/>
              <w:right w:w="28" w:type="dxa"/>
            </w:tcMar>
            <w:vAlign w:val="center"/>
          </w:tcPr>
          <w:p w14:paraId="43B8AD03">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没收违法所得，限制从业</w:t>
            </w:r>
          </w:p>
        </w:tc>
        <w:tc>
          <w:tcPr>
            <w:tcW w:w="1050" w:type="dxa"/>
            <w:tcMar>
              <w:left w:w="28" w:type="dxa"/>
              <w:right w:w="28" w:type="dxa"/>
            </w:tcMar>
            <w:vAlign w:val="center"/>
          </w:tcPr>
          <w:p w14:paraId="71C331FA">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没收违法所得，限制从业</w:t>
            </w:r>
          </w:p>
        </w:tc>
        <w:tc>
          <w:tcPr>
            <w:tcW w:w="5066" w:type="dxa"/>
            <w:tcMar>
              <w:left w:w="28" w:type="dxa"/>
              <w:right w:w="28" w:type="dxa"/>
            </w:tcMar>
            <w:vAlign w:val="center"/>
          </w:tcPr>
          <w:p w14:paraId="114C1A70">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【行政法规】《中华人民共和国民办教育促进法实施条例》（国务院令第741号）</w:t>
            </w:r>
          </w:p>
          <w:p w14:paraId="26909D08">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14:paraId="0224F225">
            <w:pPr>
              <w:pStyle w:val="20"/>
              <w:snapToGrid/>
              <w:spacing w:line="230" w:lineRule="exact"/>
              <w:jc w:val="both"/>
              <w:rPr>
                <w:rFonts w:ascii="Times New Roman" w:hAnsi="Times New Roman" w:eastAsia="方正仿宋_GBK" w:cs="宋体"/>
                <w:spacing w:val="-6"/>
                <w:sz w:val="21"/>
                <w:szCs w:val="21"/>
              </w:rPr>
            </w:pPr>
            <w:r>
              <w:rPr>
                <w:rFonts w:hint="eastAsia" w:ascii="Times New Roman" w:hAnsi="Times New Roman" w:eastAsia="方正仿宋_GBK" w:cs="宋体"/>
                <w:spacing w:val="-6"/>
                <w:sz w:val="21"/>
                <w:szCs w:val="21"/>
              </w:rPr>
              <w:t>（一）利用办学非法集资，或者收取与入学关联的费用的；</w:t>
            </w:r>
          </w:p>
          <w:p w14:paraId="118A5B0A">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（二）未按时、足额履行出资义务，或者抽逃出资、挪用办学经费的；</w:t>
            </w:r>
          </w:p>
          <w:p w14:paraId="4B0DF09A">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（三）侵占学校法人财产或者非法从学校获取利益的；</w:t>
            </w:r>
          </w:p>
          <w:p w14:paraId="6CAE5E7C">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（四）与实施义务教育的民办学校进行关联交易，或者与其他民办学校进行关联交易损害国家利益、学校利益和师生权益的；</w:t>
            </w:r>
          </w:p>
          <w:p w14:paraId="4AC5B9E0">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（五）伪造、变造、买卖、出租、出借办学许可证的；</w:t>
            </w:r>
          </w:p>
          <w:p w14:paraId="010DA545">
            <w:pPr>
              <w:pStyle w:val="20"/>
              <w:snapToGrid/>
              <w:spacing w:line="230" w:lineRule="exact"/>
              <w:jc w:val="both"/>
              <w:rPr>
                <w:rFonts w:ascii="Times New Roman" w:hAnsi="Times New Roman" w:eastAsia="方正仿宋_GBK" w:cs="宋体"/>
                <w:spacing w:val="-6"/>
                <w:sz w:val="21"/>
                <w:szCs w:val="21"/>
              </w:rPr>
            </w:pPr>
            <w:r>
              <w:rPr>
                <w:rFonts w:hint="eastAsia" w:ascii="Times New Roman" w:hAnsi="Times New Roman" w:eastAsia="方正仿宋_GBK" w:cs="宋体"/>
                <w:spacing w:val="-6"/>
                <w:sz w:val="21"/>
                <w:szCs w:val="21"/>
              </w:rPr>
              <w:t>（六）干扰学校办学秩序或者非法干预学校决策、管理的；</w:t>
            </w:r>
          </w:p>
          <w:p w14:paraId="7884F2F8">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（七）擅自变更学校名称、层次、类型和举办者的；</w:t>
            </w:r>
          </w:p>
          <w:p w14:paraId="3B304FC8">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（八）有其他危害学校稳定和安全、侵犯学校法人权利或者损害教职工、受教育者权益的行为的。</w:t>
            </w:r>
          </w:p>
          <w:p w14:paraId="1129B440">
            <w:pPr>
              <w:pStyle w:val="20"/>
              <w:snapToGrid/>
              <w:spacing w:line="23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32519470">
            <w:pPr>
              <w:pStyle w:val="20"/>
              <w:snapToGrid/>
              <w:spacing w:line="23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第二十五条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tc>
        <w:tc>
          <w:tcPr>
            <w:tcW w:w="388" w:type="dxa"/>
            <w:tcMar>
              <w:left w:w="28" w:type="dxa"/>
              <w:right w:w="28" w:type="dxa"/>
            </w:tcMar>
            <w:vAlign w:val="center"/>
          </w:tcPr>
          <w:p w14:paraId="56AB3C53">
            <w:pPr>
              <w:pStyle w:val="20"/>
              <w:snapToGrid/>
              <w:spacing w:line="280" w:lineRule="exact"/>
              <w:jc w:val="both"/>
              <w:rPr>
                <w:rFonts w:ascii="Times New Roman" w:hAnsi="Times New Roman" w:eastAsia="方正仿宋_GBK" w:cs="宋体"/>
                <w:sz w:val="21"/>
                <w:szCs w:val="21"/>
              </w:rPr>
            </w:pPr>
          </w:p>
        </w:tc>
      </w:tr>
      <w:tr w14:paraId="266C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3" w:hRule="atLeast"/>
          <w:jc w:val="center"/>
        </w:trPr>
        <w:tc>
          <w:tcPr>
            <w:tcW w:w="517" w:type="dxa"/>
            <w:vAlign w:val="center"/>
          </w:tcPr>
          <w:p w14:paraId="425AA39F">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11</w:t>
            </w:r>
          </w:p>
        </w:tc>
        <w:tc>
          <w:tcPr>
            <w:tcW w:w="517" w:type="dxa"/>
            <w:tcMar>
              <w:left w:w="28" w:type="dxa"/>
              <w:right w:w="28" w:type="dxa"/>
            </w:tcMar>
            <w:vAlign w:val="center"/>
          </w:tcPr>
          <w:p w14:paraId="480B2A20">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74AF7C9A">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对（学科类）校外培训机构管理混乱的处罚</w:t>
            </w:r>
          </w:p>
        </w:tc>
        <w:tc>
          <w:tcPr>
            <w:tcW w:w="1056" w:type="dxa"/>
            <w:tcMar>
              <w:left w:w="28" w:type="dxa"/>
              <w:right w:w="28" w:type="dxa"/>
            </w:tcMar>
            <w:vAlign w:val="center"/>
          </w:tcPr>
          <w:p w14:paraId="09A29341">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0BF78CD7">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0AF743CF">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1092" w:type="dxa"/>
            <w:tcMar>
              <w:left w:w="28" w:type="dxa"/>
              <w:right w:w="28" w:type="dxa"/>
            </w:tcMar>
            <w:vAlign w:val="center"/>
          </w:tcPr>
          <w:p w14:paraId="226AD6B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1050" w:type="dxa"/>
            <w:tcMar>
              <w:left w:w="28" w:type="dxa"/>
              <w:right w:w="28" w:type="dxa"/>
            </w:tcMar>
            <w:vAlign w:val="center"/>
          </w:tcPr>
          <w:p w14:paraId="0698EAAF">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5066" w:type="dxa"/>
            <w:tcMar>
              <w:left w:w="28" w:type="dxa"/>
              <w:right w:w="28" w:type="dxa"/>
            </w:tcMar>
            <w:vAlign w:val="center"/>
          </w:tcPr>
          <w:p w14:paraId="17BFF60B">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29037BD1">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二十二条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14:paraId="2D43B201">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（一）与中小学联合招生等违反规定招收学员的；</w:t>
            </w:r>
          </w:p>
          <w:p w14:paraId="3851285D">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（二）校外培训机构从业人员的聘任与管理违反法律、法规和国务院校外培训主管部门有关规定的；</w:t>
            </w:r>
          </w:p>
          <w:p w14:paraId="7EB8AA23">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（三）校外培训机构收费价格、收费行为、预收费管理等违反法律法规和国务院相关部门有关规定的；</w:t>
            </w:r>
          </w:p>
          <w:p w14:paraId="204C73B7">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（四）线上校外培训包含与培训无关的网络游戏内容及链接的；</w:t>
            </w:r>
          </w:p>
          <w:p w14:paraId="0708B612">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（五）线上校外培训未按照国务院校外培训主管部门有关规定留存培训内容、培训数据、直播培训影像的；</w:t>
            </w:r>
          </w:p>
          <w:p w14:paraId="5E97E03A">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（六）校外培训机构违法违规发布广告的；</w:t>
            </w:r>
          </w:p>
          <w:p w14:paraId="3C6B413E">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（七）其他管理混乱严重影响教育教学的。校外培训机构有前款第（一）项规定行为的，从重处罚。</w:t>
            </w:r>
          </w:p>
        </w:tc>
        <w:tc>
          <w:tcPr>
            <w:tcW w:w="388" w:type="dxa"/>
            <w:tcMar>
              <w:left w:w="28" w:type="dxa"/>
              <w:right w:w="28" w:type="dxa"/>
            </w:tcMar>
            <w:vAlign w:val="center"/>
          </w:tcPr>
          <w:p w14:paraId="6763B7FB">
            <w:pPr>
              <w:pStyle w:val="20"/>
              <w:snapToGrid/>
              <w:spacing w:line="280" w:lineRule="exact"/>
              <w:jc w:val="both"/>
              <w:rPr>
                <w:rFonts w:ascii="Times New Roman" w:hAnsi="Times New Roman" w:eastAsia="方正仿宋_GBK" w:cs="宋体"/>
                <w:sz w:val="21"/>
                <w:szCs w:val="21"/>
              </w:rPr>
            </w:pPr>
          </w:p>
        </w:tc>
      </w:tr>
      <w:tr w14:paraId="47F8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5" w:hRule="atLeast"/>
          <w:jc w:val="center"/>
        </w:trPr>
        <w:tc>
          <w:tcPr>
            <w:tcW w:w="517" w:type="dxa"/>
            <w:vAlign w:val="center"/>
          </w:tcPr>
          <w:p w14:paraId="41742318">
            <w:pPr>
              <w:spacing w:line="280" w:lineRule="exact"/>
              <w:ind w:left="-160" w:leftChars="-50" w:right="-160" w:rightChars="-50" w:firstLine="0" w:firstLineChars="0"/>
              <w:jc w:val="center"/>
              <w:rPr>
                <w:rFonts w:ascii="Times New Roman" w:hAnsi="Times New Roman" w:eastAsia="宋体"/>
                <w:color w:val="000000"/>
                <w:sz w:val="21"/>
                <w:szCs w:val="21"/>
              </w:rPr>
            </w:pPr>
            <w:r>
              <w:rPr>
                <w:rFonts w:ascii="Times New Roman" w:hAnsi="Times New Roman"/>
                <w:color w:val="000000"/>
                <w:sz w:val="21"/>
                <w:szCs w:val="21"/>
              </w:rPr>
              <w:t>12</w:t>
            </w:r>
          </w:p>
        </w:tc>
        <w:tc>
          <w:tcPr>
            <w:tcW w:w="517" w:type="dxa"/>
            <w:tcMar>
              <w:left w:w="28" w:type="dxa"/>
              <w:right w:w="28" w:type="dxa"/>
            </w:tcMar>
            <w:vAlign w:val="center"/>
          </w:tcPr>
          <w:p w14:paraId="24FCBA56">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848" w:type="dxa"/>
            <w:tcMar>
              <w:left w:w="28" w:type="dxa"/>
              <w:right w:w="28" w:type="dxa"/>
            </w:tcMar>
            <w:vAlign w:val="center"/>
          </w:tcPr>
          <w:p w14:paraId="103C09FA">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对（学科类）校外培训机构超出办学许可范围的处罚</w:t>
            </w:r>
          </w:p>
        </w:tc>
        <w:tc>
          <w:tcPr>
            <w:tcW w:w="1056" w:type="dxa"/>
            <w:tcMar>
              <w:left w:w="28" w:type="dxa"/>
              <w:right w:w="28" w:type="dxa"/>
            </w:tcMar>
            <w:vAlign w:val="center"/>
          </w:tcPr>
          <w:p w14:paraId="0C8870ED">
            <w:pPr>
              <w:pStyle w:val="20"/>
              <w:snapToGrid/>
              <w:spacing w:line="280" w:lineRule="exact"/>
              <w:jc w:val="both"/>
              <w:rPr>
                <w:rFonts w:ascii="Times New Roman" w:hAnsi="Times New Roman" w:eastAsia="方正书宋_GBK" w:cs="宋体"/>
                <w:sz w:val="21"/>
                <w:szCs w:val="21"/>
              </w:rPr>
            </w:pPr>
          </w:p>
        </w:tc>
        <w:tc>
          <w:tcPr>
            <w:tcW w:w="547" w:type="dxa"/>
            <w:tcMar>
              <w:left w:w="28" w:type="dxa"/>
              <w:right w:w="28" w:type="dxa"/>
            </w:tcMar>
            <w:vAlign w:val="center"/>
          </w:tcPr>
          <w:p w14:paraId="054E3203">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行政处罚</w:t>
            </w:r>
          </w:p>
        </w:tc>
        <w:tc>
          <w:tcPr>
            <w:tcW w:w="1061" w:type="dxa"/>
            <w:tcMar>
              <w:left w:w="28" w:type="dxa"/>
              <w:right w:w="28" w:type="dxa"/>
            </w:tcMar>
            <w:vAlign w:val="center"/>
          </w:tcPr>
          <w:p w14:paraId="210FD56C">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1092" w:type="dxa"/>
            <w:tcMar>
              <w:left w:w="28" w:type="dxa"/>
              <w:right w:w="28" w:type="dxa"/>
            </w:tcMar>
            <w:vAlign w:val="center"/>
          </w:tcPr>
          <w:p w14:paraId="74025951">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1050" w:type="dxa"/>
            <w:tcMar>
              <w:left w:w="28" w:type="dxa"/>
              <w:right w:w="28" w:type="dxa"/>
            </w:tcMar>
            <w:vAlign w:val="center"/>
          </w:tcPr>
          <w:p w14:paraId="70B51E76">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警告，没收违法所得，责令停止招收学员，吊销许可证件</w:t>
            </w:r>
          </w:p>
        </w:tc>
        <w:tc>
          <w:tcPr>
            <w:tcW w:w="5066" w:type="dxa"/>
            <w:tcMar>
              <w:left w:w="28" w:type="dxa"/>
              <w:right w:w="28" w:type="dxa"/>
            </w:tcMar>
            <w:vAlign w:val="center"/>
          </w:tcPr>
          <w:p w14:paraId="5D40D109">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【部门规章】《校外培训行政处罚暂行办法》（教育部令第53号）</w:t>
            </w:r>
          </w:p>
          <w:p w14:paraId="7E80E494">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二十条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p>
          <w:p w14:paraId="49C4BE31">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（一）线下培训机构开展线上校外培训的，但是以现代信息技术辅助开展培训活动的除外；</w:t>
            </w:r>
          </w:p>
          <w:p w14:paraId="42BA4F3C">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（二）线上培训机构开展线下校外培训的；</w:t>
            </w:r>
          </w:p>
          <w:p w14:paraId="42890000">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（三）非学科类培训机构开展学科类校外培训的；</w:t>
            </w:r>
          </w:p>
          <w:p w14:paraId="62361BD2">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（四）学科类培训机构开展非学科类校外培训的；</w:t>
            </w:r>
          </w:p>
          <w:p w14:paraId="6E4268A5">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（五）其他超出办学许可范围开展培训活动的。</w:t>
            </w:r>
          </w:p>
        </w:tc>
        <w:tc>
          <w:tcPr>
            <w:tcW w:w="388" w:type="dxa"/>
            <w:tcMar>
              <w:left w:w="28" w:type="dxa"/>
              <w:right w:w="28" w:type="dxa"/>
            </w:tcMar>
            <w:vAlign w:val="center"/>
          </w:tcPr>
          <w:p w14:paraId="584A1883">
            <w:pPr>
              <w:pStyle w:val="20"/>
              <w:snapToGrid/>
              <w:spacing w:line="280" w:lineRule="exact"/>
              <w:jc w:val="both"/>
              <w:rPr>
                <w:rFonts w:ascii="Times New Roman" w:hAnsi="Times New Roman" w:eastAsia="方正仿宋_GBK" w:cs="宋体"/>
                <w:sz w:val="21"/>
                <w:szCs w:val="21"/>
              </w:rPr>
            </w:pPr>
          </w:p>
        </w:tc>
      </w:tr>
    </w:tbl>
    <w:p w14:paraId="627D53C8">
      <w:pPr>
        <w:pStyle w:val="20"/>
        <w:spacing w:afterLines="50"/>
        <w:rPr>
          <w:rFonts w:ascii="Times New Roman" w:hAnsi="Times New Roman" w:eastAsia="方正仿宋_GBK"/>
          <w:sz w:val="21"/>
          <w:szCs w:val="21"/>
        </w:rPr>
      </w:pPr>
      <w:r>
        <w:rPr>
          <w:rFonts w:ascii="Times New Roman" w:hAnsi="Times New Roman" w:eastAsia="方正仿宋_GBK"/>
          <w:sz w:val="21"/>
          <w:szCs w:val="21"/>
        </w:rPr>
        <w:br w:type="page"/>
      </w:r>
      <w:bookmarkStart w:id="2" w:name="_Toc27275"/>
      <w:bookmarkStart w:id="3" w:name="_Toc5162"/>
      <w:r>
        <w:rPr>
          <w:rFonts w:hint="eastAsia" w:ascii="Times New Roman" w:hAnsi="Times New Roman"/>
          <w:sz w:val="36"/>
          <w:szCs w:val="36"/>
        </w:rPr>
        <w:t>（</w:t>
      </w:r>
      <w:r>
        <w:rPr>
          <w:rFonts w:hint="eastAsia" w:ascii="Times New Roman" w:hAnsi="Times New Roman"/>
          <w:sz w:val="36"/>
          <w:szCs w:val="36"/>
          <w:lang w:val="en-US" w:eastAsia="zh-CN"/>
        </w:rPr>
        <w:t>二</w:t>
      </w:r>
      <w:r>
        <w:rPr>
          <w:rFonts w:hint="eastAsia" w:ascii="Times New Roman" w:hAnsi="Times New Roman"/>
          <w:sz w:val="36"/>
          <w:szCs w:val="36"/>
        </w:rPr>
        <w:t>）法律依据调整权力事项（</w:t>
      </w:r>
      <w:r>
        <w:rPr>
          <w:rFonts w:hint="eastAsia" w:ascii="Times New Roman" w:hAnsi="Times New Roman"/>
          <w:sz w:val="36"/>
          <w:szCs w:val="36"/>
          <w:lang w:val="en-US" w:eastAsia="zh-CN"/>
        </w:rPr>
        <w:t>4</w:t>
      </w:r>
      <w:r>
        <w:rPr>
          <w:rFonts w:hint="eastAsia" w:ascii="Times New Roman" w:hAnsi="Times New Roman"/>
          <w:sz w:val="36"/>
          <w:szCs w:val="36"/>
        </w:rPr>
        <w:t>项）</w:t>
      </w:r>
      <w:bookmarkEnd w:id="2"/>
      <w:bookmarkEnd w:id="3"/>
    </w:p>
    <w:tbl>
      <w:tblPr>
        <w:tblStyle w:val="16"/>
        <w:tblW w:w="13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39"/>
        <w:gridCol w:w="1413"/>
        <w:gridCol w:w="1192"/>
        <w:gridCol w:w="1037"/>
        <w:gridCol w:w="8309"/>
      </w:tblGrid>
      <w:tr w14:paraId="73A2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5" w:type="dxa"/>
            <w:tcMar>
              <w:left w:w="57" w:type="dxa"/>
              <w:right w:w="57" w:type="dxa"/>
            </w:tcMar>
            <w:vAlign w:val="center"/>
          </w:tcPr>
          <w:p w14:paraId="252EFBD3">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序号</w:t>
            </w:r>
          </w:p>
        </w:tc>
        <w:tc>
          <w:tcPr>
            <w:tcW w:w="639" w:type="dxa"/>
            <w:tcMar>
              <w:left w:w="57" w:type="dxa"/>
              <w:right w:w="57" w:type="dxa"/>
            </w:tcMar>
            <w:vAlign w:val="center"/>
          </w:tcPr>
          <w:p w14:paraId="3BD907A9">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目录</w:t>
            </w:r>
          </w:p>
          <w:p w14:paraId="72947903">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条线</w:t>
            </w:r>
          </w:p>
        </w:tc>
        <w:tc>
          <w:tcPr>
            <w:tcW w:w="1413" w:type="dxa"/>
            <w:tcMar>
              <w:left w:w="57" w:type="dxa"/>
              <w:right w:w="57" w:type="dxa"/>
            </w:tcMar>
            <w:vAlign w:val="center"/>
          </w:tcPr>
          <w:p w14:paraId="18C5E423">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基本编码</w:t>
            </w:r>
          </w:p>
        </w:tc>
        <w:tc>
          <w:tcPr>
            <w:tcW w:w="1192" w:type="dxa"/>
            <w:tcMar>
              <w:left w:w="57" w:type="dxa"/>
              <w:right w:w="57" w:type="dxa"/>
            </w:tcMar>
            <w:vAlign w:val="center"/>
          </w:tcPr>
          <w:p w14:paraId="548A500B">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权力名称</w:t>
            </w:r>
          </w:p>
        </w:tc>
        <w:tc>
          <w:tcPr>
            <w:tcW w:w="1037" w:type="dxa"/>
            <w:tcMar>
              <w:left w:w="57" w:type="dxa"/>
              <w:right w:w="57" w:type="dxa"/>
            </w:tcMar>
            <w:vAlign w:val="center"/>
          </w:tcPr>
          <w:p w14:paraId="0BE0E26B">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权力</w:t>
            </w:r>
          </w:p>
          <w:p w14:paraId="06E8535E">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类型</w:t>
            </w:r>
          </w:p>
        </w:tc>
        <w:tc>
          <w:tcPr>
            <w:tcW w:w="8309" w:type="dxa"/>
            <w:tcMar>
              <w:left w:w="57" w:type="dxa"/>
              <w:right w:w="57" w:type="dxa"/>
            </w:tcMar>
            <w:vAlign w:val="center"/>
          </w:tcPr>
          <w:p w14:paraId="3F52B837">
            <w:pPr>
              <w:widowControl/>
              <w:overflowPunct/>
              <w:snapToGrid/>
              <w:spacing w:line="280" w:lineRule="exact"/>
              <w:ind w:firstLine="0" w:firstLineChars="0"/>
              <w:jc w:val="center"/>
              <w:textAlignment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调整后依据</w:t>
            </w:r>
          </w:p>
        </w:tc>
      </w:tr>
      <w:tr w14:paraId="17DA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jc w:val="center"/>
        </w:trPr>
        <w:tc>
          <w:tcPr>
            <w:tcW w:w="565" w:type="dxa"/>
            <w:tcMar>
              <w:left w:w="57" w:type="dxa"/>
              <w:right w:w="57" w:type="dxa"/>
            </w:tcMar>
            <w:vAlign w:val="center"/>
          </w:tcPr>
          <w:p w14:paraId="60BB99CF">
            <w:pPr>
              <w:spacing w:line="280" w:lineRule="exact"/>
              <w:ind w:firstLine="0" w:firstLineChars="0"/>
              <w:jc w:val="center"/>
              <w:rPr>
                <w:rFonts w:hint="eastAsia" w:eastAsia="宋体" w:cs="宋体"/>
                <w:color w:val="000000"/>
                <w:sz w:val="21"/>
                <w:szCs w:val="21"/>
                <w:lang w:eastAsia="zh-CN"/>
              </w:rPr>
            </w:pPr>
            <w:r>
              <w:rPr>
                <w:rFonts w:hint="eastAsia" w:eastAsia="宋体"/>
                <w:color w:val="000000"/>
                <w:sz w:val="21"/>
                <w:szCs w:val="21"/>
                <w:lang w:val="en-US" w:eastAsia="zh-CN"/>
              </w:rPr>
              <w:t>1</w:t>
            </w:r>
          </w:p>
        </w:tc>
        <w:tc>
          <w:tcPr>
            <w:tcW w:w="639" w:type="dxa"/>
            <w:tcMar>
              <w:left w:w="57" w:type="dxa"/>
              <w:right w:w="57" w:type="dxa"/>
            </w:tcMar>
            <w:vAlign w:val="center"/>
          </w:tcPr>
          <w:p w14:paraId="4850AFBA">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413" w:type="dxa"/>
            <w:tcMar>
              <w:left w:w="57" w:type="dxa"/>
              <w:right w:w="57" w:type="dxa"/>
            </w:tcMar>
            <w:vAlign w:val="center"/>
          </w:tcPr>
          <w:p w14:paraId="25AD0AAE">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321005005000</w:t>
            </w:r>
          </w:p>
        </w:tc>
        <w:tc>
          <w:tcPr>
            <w:tcW w:w="1192" w:type="dxa"/>
            <w:tcMar>
              <w:left w:w="57" w:type="dxa"/>
              <w:right w:w="57" w:type="dxa"/>
            </w:tcMar>
            <w:vAlign w:val="center"/>
          </w:tcPr>
          <w:p w14:paraId="1C727CEF">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对民办学校办学水平和教育质量的评估</w:t>
            </w:r>
          </w:p>
        </w:tc>
        <w:tc>
          <w:tcPr>
            <w:tcW w:w="1037" w:type="dxa"/>
            <w:tcMar>
              <w:left w:w="57" w:type="dxa"/>
              <w:right w:w="57" w:type="dxa"/>
            </w:tcMar>
            <w:vAlign w:val="center"/>
          </w:tcPr>
          <w:p w14:paraId="0F3EFCDE">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其他行政权力</w:t>
            </w:r>
          </w:p>
        </w:tc>
        <w:tc>
          <w:tcPr>
            <w:tcW w:w="8309" w:type="dxa"/>
            <w:tcMar>
              <w:left w:w="57" w:type="dxa"/>
              <w:right w:w="57" w:type="dxa"/>
            </w:tcMar>
            <w:vAlign w:val="center"/>
          </w:tcPr>
          <w:p w14:paraId="4B9349A7">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【法律】《中华人民共和国民办教育促进法》</w:t>
            </w:r>
          </w:p>
          <w:p w14:paraId="772D13CE">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第四十一条教育行政部门及有关部门依法对民办学校实行督导，建立民办学校信息公示和信用档案制度，促进提高办学质量；组织或者委托社会中介组织评估办学水平和教育质量，并将评估结果向社会公布。</w:t>
            </w:r>
          </w:p>
          <w:p w14:paraId="034DA7EC">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【行政法规】《中华人民共和国民办教育促进法实施条例》（国务院令第741号）</w:t>
            </w:r>
          </w:p>
          <w:p w14:paraId="52943403">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十八条审批机关应当及时公开民办学校举办者情况、办学条件等审批信息。教育行政部门、人力资源社会保障行政部门应当依据职责分工，定期组织或者委托第三方机构对民办学校的办学水平和教育质量进行评估，评估结果应当向社会公开。</w:t>
            </w:r>
          </w:p>
        </w:tc>
      </w:tr>
      <w:tr w14:paraId="5DBE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565" w:type="dxa"/>
            <w:tcMar>
              <w:left w:w="57" w:type="dxa"/>
              <w:right w:w="57" w:type="dxa"/>
            </w:tcMar>
            <w:vAlign w:val="center"/>
          </w:tcPr>
          <w:p w14:paraId="42AE6569">
            <w:pPr>
              <w:spacing w:line="280" w:lineRule="exact"/>
              <w:ind w:firstLine="0" w:firstLineChars="0"/>
              <w:jc w:val="center"/>
              <w:rPr>
                <w:rFonts w:hint="eastAsia" w:eastAsia="宋体" w:cs="宋体"/>
                <w:color w:val="000000"/>
                <w:sz w:val="21"/>
                <w:szCs w:val="21"/>
                <w:lang w:eastAsia="zh-CN"/>
              </w:rPr>
            </w:pPr>
            <w:r>
              <w:rPr>
                <w:rFonts w:hint="eastAsia" w:eastAsia="宋体"/>
                <w:color w:val="000000"/>
                <w:sz w:val="21"/>
                <w:szCs w:val="21"/>
                <w:lang w:val="en-US" w:eastAsia="zh-CN"/>
              </w:rPr>
              <w:t>2</w:t>
            </w:r>
          </w:p>
        </w:tc>
        <w:tc>
          <w:tcPr>
            <w:tcW w:w="639" w:type="dxa"/>
            <w:tcMar>
              <w:left w:w="57" w:type="dxa"/>
              <w:right w:w="57" w:type="dxa"/>
            </w:tcMar>
            <w:vAlign w:val="center"/>
          </w:tcPr>
          <w:p w14:paraId="4C23212D">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413" w:type="dxa"/>
            <w:tcMar>
              <w:left w:w="57" w:type="dxa"/>
              <w:right w:w="57" w:type="dxa"/>
            </w:tcMar>
            <w:vAlign w:val="center"/>
          </w:tcPr>
          <w:p w14:paraId="25613A55">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321005020000</w:t>
            </w:r>
          </w:p>
        </w:tc>
        <w:tc>
          <w:tcPr>
            <w:tcW w:w="1192" w:type="dxa"/>
            <w:tcMar>
              <w:left w:w="57" w:type="dxa"/>
              <w:right w:w="57" w:type="dxa"/>
            </w:tcMar>
            <w:vAlign w:val="center"/>
          </w:tcPr>
          <w:p w14:paraId="78629997">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对民办高校理事长、理事或者董事长、董事的备案</w:t>
            </w:r>
          </w:p>
        </w:tc>
        <w:tc>
          <w:tcPr>
            <w:tcW w:w="1037" w:type="dxa"/>
            <w:tcMar>
              <w:left w:w="57" w:type="dxa"/>
              <w:right w:w="57" w:type="dxa"/>
            </w:tcMar>
            <w:vAlign w:val="center"/>
          </w:tcPr>
          <w:p w14:paraId="5FDDB395">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其他行政权力</w:t>
            </w:r>
          </w:p>
        </w:tc>
        <w:tc>
          <w:tcPr>
            <w:tcW w:w="8309" w:type="dxa"/>
            <w:tcMar>
              <w:left w:w="57" w:type="dxa"/>
              <w:right w:w="57" w:type="dxa"/>
            </w:tcMar>
            <w:vAlign w:val="center"/>
          </w:tcPr>
          <w:p w14:paraId="5FCFB274">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【法律】《中华人民共和国民办教育促进法》</w:t>
            </w:r>
          </w:p>
          <w:p w14:paraId="3ADBDF63">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第二十一条 学校理事会或者董事会由五人以上组成，设理事长或者董事长一人。理事长、理事或者董事长、董事名单报审批机关备案。</w:t>
            </w:r>
          </w:p>
          <w:p w14:paraId="17186632">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【规范性文件】省编委《关于同意省教育厅内设机构调整的批复》（苏编〔2007〕21号）</w:t>
            </w:r>
          </w:p>
          <w:p w14:paraId="76BA26E4">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具体承办民办高校校长任职的核准和理事长、理事（董事长、董事）的备案工作。</w:t>
            </w:r>
          </w:p>
        </w:tc>
      </w:tr>
      <w:tr w14:paraId="5A68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 w:type="dxa"/>
            <w:tcMar>
              <w:left w:w="57" w:type="dxa"/>
              <w:right w:w="57" w:type="dxa"/>
            </w:tcMar>
            <w:vAlign w:val="center"/>
          </w:tcPr>
          <w:p w14:paraId="564F0EC1">
            <w:pPr>
              <w:spacing w:line="248" w:lineRule="exact"/>
              <w:ind w:firstLine="0" w:firstLineChars="0"/>
              <w:jc w:val="center"/>
              <w:rPr>
                <w:rFonts w:hint="eastAsia" w:eastAsia="宋体" w:cs="宋体"/>
                <w:color w:val="000000"/>
                <w:sz w:val="21"/>
                <w:szCs w:val="21"/>
                <w:lang w:eastAsia="zh-CN"/>
              </w:rPr>
            </w:pPr>
            <w:r>
              <w:rPr>
                <w:rFonts w:hint="eastAsia" w:eastAsia="宋体"/>
                <w:color w:val="000000"/>
                <w:sz w:val="21"/>
                <w:szCs w:val="21"/>
                <w:lang w:val="en-US" w:eastAsia="zh-CN"/>
              </w:rPr>
              <w:t>3</w:t>
            </w:r>
          </w:p>
        </w:tc>
        <w:tc>
          <w:tcPr>
            <w:tcW w:w="639" w:type="dxa"/>
            <w:tcMar>
              <w:left w:w="57" w:type="dxa"/>
              <w:right w:w="57" w:type="dxa"/>
            </w:tcMar>
            <w:vAlign w:val="center"/>
          </w:tcPr>
          <w:p w14:paraId="48A2F38F">
            <w:pPr>
              <w:pStyle w:val="20"/>
              <w:snapToGrid/>
              <w:spacing w:line="248"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413" w:type="dxa"/>
            <w:tcMar>
              <w:left w:w="57" w:type="dxa"/>
              <w:right w:w="57" w:type="dxa"/>
            </w:tcMar>
            <w:vAlign w:val="center"/>
          </w:tcPr>
          <w:p w14:paraId="000BB6E1">
            <w:pPr>
              <w:pStyle w:val="20"/>
              <w:snapToGrid/>
              <w:spacing w:line="248"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320705005000</w:t>
            </w:r>
          </w:p>
        </w:tc>
        <w:tc>
          <w:tcPr>
            <w:tcW w:w="1192" w:type="dxa"/>
            <w:tcMar>
              <w:left w:w="57" w:type="dxa"/>
              <w:right w:w="57" w:type="dxa"/>
            </w:tcMar>
            <w:vAlign w:val="center"/>
          </w:tcPr>
          <w:p w14:paraId="26E2DA9E">
            <w:pPr>
              <w:pStyle w:val="20"/>
              <w:snapToGrid/>
              <w:spacing w:line="248"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中小学生学籍管理</w:t>
            </w:r>
          </w:p>
        </w:tc>
        <w:tc>
          <w:tcPr>
            <w:tcW w:w="1037" w:type="dxa"/>
            <w:tcMar>
              <w:left w:w="57" w:type="dxa"/>
              <w:right w:w="57" w:type="dxa"/>
            </w:tcMar>
            <w:vAlign w:val="center"/>
          </w:tcPr>
          <w:p w14:paraId="27107A55">
            <w:pPr>
              <w:pStyle w:val="20"/>
              <w:snapToGrid/>
              <w:spacing w:line="248"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行政确认</w:t>
            </w:r>
          </w:p>
        </w:tc>
        <w:tc>
          <w:tcPr>
            <w:tcW w:w="8309" w:type="dxa"/>
            <w:tcMar>
              <w:left w:w="57" w:type="dxa"/>
              <w:right w:w="57" w:type="dxa"/>
            </w:tcMar>
            <w:vAlign w:val="center"/>
          </w:tcPr>
          <w:p w14:paraId="182F0A81">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【规范性文件】《教育部关于印发中小学生学籍管理办法的通知》</w:t>
            </w:r>
          </w:p>
          <w:p w14:paraId="7BE2495A">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第十一条各学段各类学籍变动的具体条件和要求由省级教育行政部门根据国家法律法规和当地实际统筹制定。</w:t>
            </w:r>
          </w:p>
          <w:p w14:paraId="30A94E94">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【规范性文件】《江苏省义务教育学籍管理规定》</w:t>
            </w:r>
          </w:p>
          <w:p w14:paraId="6266029B">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三条（管理职能）全省义务教育学校学籍管理实行省级统筹，市、县分级负责，县级管理为主，学校具体实施的管理体制。省教育厅统筹我省义务教育学校学生学籍管理工作，制定省义务教育学校学籍管理规定，指导、监督、检查各地义务教育学校学籍管理工作，建设江苏省中小学生学籍管理信息系统（以下简称学籍系统）并确保正常运行。</w:t>
            </w:r>
          </w:p>
          <w:p w14:paraId="235A86DC">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【规范性文件】《江苏省教育厅关于印发〈江苏省中等职业学校学生学籍管理规定〉的通知》（苏教规〔2011〕1号）</w:t>
            </w:r>
          </w:p>
          <w:p w14:paraId="2E78A146">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条学校按省（市、县）教育行政部门有关招生规定录取的新生，须持录取通知书和本人身份证或户口簿，按规定日期到校办理入学手续。因故不能如期报到者，须凭有关证明，向学校提出延期报到（延期一般不得超过两周）的书面申请。未经批准，逾期两周不报到者，取消入学资格。对按省（市、县）有关规定办理入学手续的学生，由学校在开学后到市、县（市、区）有关部门办理注册手续。对按专业大类招收的新生，入学后按专业大类注册，确定专业方向后再按专业方向注册。新生在办理报到、注册手续后取得学籍。</w:t>
            </w:r>
          </w:p>
          <w:p w14:paraId="6E650C11">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第三十八条学生转学、转专业，须经本人与家长（监护人）共同向学校提出书面申请，然后按下列规定办理：</w:t>
            </w:r>
          </w:p>
          <w:p w14:paraId="492B8FC5">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1．省内转学须经转出学校和转入学校同意，报双方学校主管部门和学校所在地教育行政部门备案。</w:t>
            </w:r>
          </w:p>
          <w:p w14:paraId="3F1DD502">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2．跨省转学和不同类型学校间转学，须经双方学校和学校所在地教育行政部门同意后，报所在市级和省级教育行政部门备案。</w:t>
            </w:r>
          </w:p>
          <w:p w14:paraId="799E03E5">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3．学生在校内转专业或在专业大类内转换专门化方向，须经学校批准，报教育主管部门备案。</w:t>
            </w:r>
          </w:p>
          <w:p w14:paraId="19E6C9DB">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第四十五条学校批准学生休学和复学，应报上级教育行政部门和学校主管部门备案。</w:t>
            </w:r>
          </w:p>
          <w:p w14:paraId="0B33AE6A">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第六十二条具有学籍的学生达到以下要求，应准予毕业，并由学校发给经省市教育行政部门或行业主管部门验印的毕业证书：</w:t>
            </w:r>
          </w:p>
          <w:p w14:paraId="5E61B2B1">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1．操行考核合格；</w:t>
            </w:r>
          </w:p>
          <w:p w14:paraId="0274F057">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2．学完教学计划规定的全部课程且考核合格，或修满规定的学分；</w:t>
            </w:r>
          </w:p>
          <w:p w14:paraId="479958D5">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3．顶岗实习或工学交替实习鉴定合格；</w:t>
            </w:r>
          </w:p>
          <w:p w14:paraId="5DABABE7">
            <w:pPr>
              <w:pStyle w:val="20"/>
              <w:snapToGrid/>
              <w:spacing w:line="248"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4．原则上应取得相应或相关专业的职业资格证书或技能等级证书。学生毕业时应作全面鉴定，其内容包括德、智、体等几方面，即政治态度、思想品德、学习、劳动和健康状况等方面。</w:t>
            </w:r>
          </w:p>
        </w:tc>
      </w:tr>
      <w:tr w14:paraId="1EEE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1" w:hRule="atLeast"/>
          <w:jc w:val="center"/>
        </w:trPr>
        <w:tc>
          <w:tcPr>
            <w:tcW w:w="565" w:type="dxa"/>
            <w:tcMar>
              <w:left w:w="57" w:type="dxa"/>
              <w:right w:w="57" w:type="dxa"/>
            </w:tcMar>
            <w:vAlign w:val="center"/>
          </w:tcPr>
          <w:p w14:paraId="463C7DDF">
            <w:pPr>
              <w:spacing w:line="280" w:lineRule="exact"/>
              <w:ind w:firstLine="0" w:firstLineChars="0"/>
              <w:jc w:val="center"/>
              <w:rPr>
                <w:rFonts w:hint="eastAsia" w:eastAsia="宋体" w:cs="宋体"/>
                <w:color w:val="000000"/>
                <w:sz w:val="21"/>
                <w:szCs w:val="21"/>
                <w:lang w:eastAsia="zh-CN"/>
              </w:rPr>
            </w:pPr>
            <w:r>
              <w:rPr>
                <w:rFonts w:hint="eastAsia" w:eastAsia="宋体"/>
                <w:color w:val="000000"/>
                <w:sz w:val="21"/>
                <w:szCs w:val="21"/>
                <w:lang w:val="en-US" w:eastAsia="zh-CN"/>
              </w:rPr>
              <w:t>4</w:t>
            </w:r>
          </w:p>
        </w:tc>
        <w:tc>
          <w:tcPr>
            <w:tcW w:w="639" w:type="dxa"/>
            <w:tcMar>
              <w:left w:w="57" w:type="dxa"/>
              <w:right w:w="57" w:type="dxa"/>
            </w:tcMar>
            <w:vAlign w:val="center"/>
          </w:tcPr>
          <w:p w14:paraId="1CA40124">
            <w:pPr>
              <w:pStyle w:val="20"/>
              <w:snapToGrid/>
              <w:spacing w:line="280" w:lineRule="exact"/>
              <w:rPr>
                <w:rFonts w:ascii="Times New Roman" w:hAnsi="Times New Roman" w:eastAsia="方正书宋_GBK" w:cs="宋体"/>
                <w:sz w:val="21"/>
                <w:szCs w:val="21"/>
              </w:rPr>
            </w:pPr>
            <w:r>
              <w:rPr>
                <w:rFonts w:hint="eastAsia" w:ascii="Times New Roman" w:hAnsi="Times New Roman" w:eastAsia="方正仿宋_GBK" w:cs="宋体"/>
                <w:sz w:val="21"/>
                <w:szCs w:val="21"/>
              </w:rPr>
              <w:t>教育部门</w:t>
            </w:r>
          </w:p>
        </w:tc>
        <w:tc>
          <w:tcPr>
            <w:tcW w:w="1413" w:type="dxa"/>
            <w:tcMar>
              <w:left w:w="57" w:type="dxa"/>
              <w:right w:w="57" w:type="dxa"/>
            </w:tcMar>
            <w:vAlign w:val="center"/>
          </w:tcPr>
          <w:p w14:paraId="33A3AC30">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321005003000</w:t>
            </w:r>
          </w:p>
        </w:tc>
        <w:tc>
          <w:tcPr>
            <w:tcW w:w="1192" w:type="dxa"/>
            <w:tcMar>
              <w:left w:w="57" w:type="dxa"/>
              <w:right w:w="57" w:type="dxa"/>
            </w:tcMar>
            <w:vAlign w:val="center"/>
          </w:tcPr>
          <w:p w14:paraId="7F4C5D8D">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对民办学校招生简章和广告的备案</w:t>
            </w:r>
          </w:p>
        </w:tc>
        <w:tc>
          <w:tcPr>
            <w:tcW w:w="1037" w:type="dxa"/>
            <w:tcMar>
              <w:left w:w="57" w:type="dxa"/>
              <w:right w:w="57" w:type="dxa"/>
            </w:tcMar>
            <w:vAlign w:val="center"/>
          </w:tcPr>
          <w:p w14:paraId="310293F8">
            <w:pPr>
              <w:pStyle w:val="20"/>
              <w:snapToGrid/>
              <w:spacing w:line="280" w:lineRule="exact"/>
              <w:jc w:val="both"/>
              <w:rPr>
                <w:rFonts w:ascii="Times New Roman" w:hAnsi="Times New Roman" w:eastAsia="方正书宋_GBK" w:cs="宋体"/>
                <w:sz w:val="21"/>
                <w:szCs w:val="21"/>
              </w:rPr>
            </w:pPr>
            <w:r>
              <w:rPr>
                <w:rFonts w:hint="eastAsia" w:ascii="Times New Roman" w:hAnsi="Times New Roman" w:eastAsia="方正仿宋_GBK" w:cs="宋体"/>
                <w:sz w:val="21"/>
                <w:szCs w:val="21"/>
              </w:rPr>
              <w:t>其他行政权力</w:t>
            </w:r>
          </w:p>
        </w:tc>
        <w:tc>
          <w:tcPr>
            <w:tcW w:w="8309" w:type="dxa"/>
            <w:tcMar>
              <w:left w:w="57" w:type="dxa"/>
              <w:right w:w="57" w:type="dxa"/>
            </w:tcMar>
            <w:vAlign w:val="center"/>
          </w:tcPr>
          <w:p w14:paraId="497936FF">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【法律】《中华人民共和国民办教育促进法》</w:t>
            </w:r>
          </w:p>
          <w:p w14:paraId="06877027">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第四十二条民办学校的招生简章和广告，应当报审批机关备案。</w:t>
            </w:r>
          </w:p>
          <w:p w14:paraId="6BD80934">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【法律】《中华人民共和国广告法》</w:t>
            </w:r>
          </w:p>
          <w:p w14:paraId="52C2DD4C">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第四十六条　发布医疗、药品、医疗器械、农药、兽药和保健食品广告，以及法律、行政法规规定应当进行审查的其他广告，应当在发布前由有关部门（以下称广告审查机关）对广告内容进行审查；未经审查，不得发布。</w:t>
            </w:r>
          </w:p>
          <w:p w14:paraId="219298F8">
            <w:pPr>
              <w:pStyle w:val="20"/>
              <w:snapToGrid/>
              <w:spacing w:line="280" w:lineRule="exact"/>
              <w:jc w:val="both"/>
              <w:rPr>
                <w:rFonts w:ascii="Times New Roman" w:hAnsi="Times New Roman" w:eastAsia="方正仿宋_GBK" w:cs="宋体"/>
                <w:sz w:val="21"/>
                <w:szCs w:val="21"/>
              </w:rPr>
            </w:pPr>
            <w:r>
              <w:rPr>
                <w:rFonts w:hint="eastAsia" w:ascii="Times New Roman" w:hAnsi="Times New Roman" w:eastAsia="方正仿宋_GBK" w:cs="宋体"/>
                <w:sz w:val="21"/>
                <w:szCs w:val="21"/>
              </w:rPr>
              <w:t>第四十七条　广告主申请广告审查，应当依照法律、行政法规向广告审查机关提交有关证明文件。广告审查机关应当依照法律、行政法规规定作出审查决定，并应当将审查批准文件抄送同级市场监督管理部门。广告审查机关应当及时向社会公布批准的广告。</w:t>
            </w:r>
          </w:p>
        </w:tc>
      </w:tr>
    </w:tbl>
    <w:p w14:paraId="26A43F9F">
      <w:pPr>
        <w:rPr>
          <w:rFonts w:hint="eastAsia" w:ascii="Times New Roman" w:hAnsi="Times New Roman"/>
          <w:bCs/>
          <w:sz w:val="36"/>
          <w:szCs w:val="36"/>
        </w:rPr>
      </w:pPr>
      <w:bookmarkStart w:id="4" w:name="_Toc6531"/>
      <w:bookmarkStart w:id="5" w:name="_Toc21132"/>
      <w:r>
        <w:rPr>
          <w:rFonts w:hint="eastAsia" w:ascii="Times New Roman" w:hAnsi="Times New Roman"/>
          <w:bCs/>
          <w:sz w:val="36"/>
          <w:szCs w:val="36"/>
        </w:rPr>
        <w:br w:type="page"/>
      </w:r>
    </w:p>
    <w:bookmarkEnd w:id="4"/>
    <w:bookmarkEnd w:id="5"/>
    <w:p w14:paraId="59D0A887">
      <w:pPr>
        <w:pStyle w:val="20"/>
        <w:spacing w:afterLines="50"/>
        <w:rPr>
          <w:rFonts w:ascii="Times New Roman" w:hAnsi="Times New Roman"/>
          <w:bCs/>
          <w:sz w:val="36"/>
          <w:szCs w:val="36"/>
        </w:rPr>
      </w:pPr>
      <w:bookmarkStart w:id="6" w:name="_Toc9808"/>
      <w:bookmarkStart w:id="7" w:name="_Toc23711"/>
      <w:r>
        <w:rPr>
          <w:rFonts w:hint="eastAsia" w:ascii="Times New Roman" w:hAnsi="Times New Roman"/>
          <w:bCs/>
          <w:sz w:val="36"/>
          <w:szCs w:val="36"/>
        </w:rPr>
        <w:t>（</w:t>
      </w:r>
      <w:r>
        <w:rPr>
          <w:rFonts w:hint="eastAsia" w:ascii="Times New Roman" w:hAnsi="Times New Roman"/>
          <w:bCs/>
          <w:sz w:val="36"/>
          <w:szCs w:val="36"/>
          <w:lang w:val="en-US" w:eastAsia="zh-CN"/>
        </w:rPr>
        <w:t>三</w:t>
      </w:r>
      <w:r>
        <w:rPr>
          <w:rFonts w:hint="eastAsia" w:ascii="Times New Roman" w:hAnsi="Times New Roman"/>
          <w:bCs/>
          <w:sz w:val="36"/>
          <w:szCs w:val="36"/>
        </w:rPr>
        <w:t>）权力名称和法律依据调整权力事项（</w:t>
      </w:r>
      <w:r>
        <w:rPr>
          <w:rFonts w:hint="eastAsia" w:ascii="Times New Roman" w:hAnsi="Times New Roman"/>
          <w:bCs/>
          <w:sz w:val="36"/>
          <w:szCs w:val="36"/>
          <w:lang w:val="en-US" w:eastAsia="zh-CN"/>
        </w:rPr>
        <w:t>2</w:t>
      </w:r>
      <w:r>
        <w:rPr>
          <w:rFonts w:hint="eastAsia" w:ascii="Times New Roman" w:hAnsi="Times New Roman"/>
          <w:bCs/>
          <w:sz w:val="36"/>
          <w:szCs w:val="36"/>
        </w:rPr>
        <w:t>项）</w:t>
      </w:r>
      <w:bookmarkEnd w:id="6"/>
    </w:p>
    <w:bookmarkEnd w:id="7"/>
    <w:tbl>
      <w:tblPr>
        <w:tblStyle w:val="16"/>
        <w:tblW w:w="13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17" w:type="dxa"/>
          <w:bottom w:w="17" w:type="dxa"/>
          <w:right w:w="17" w:type="dxa"/>
        </w:tblCellMar>
      </w:tblPr>
      <w:tblGrid>
        <w:gridCol w:w="542"/>
        <w:gridCol w:w="550"/>
        <w:gridCol w:w="1472"/>
        <w:gridCol w:w="1957"/>
        <w:gridCol w:w="1875"/>
        <w:gridCol w:w="610"/>
        <w:gridCol w:w="6091"/>
      </w:tblGrid>
      <w:tr w14:paraId="139F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3" w:hRule="atLeast"/>
          <w:tblHeader/>
          <w:jc w:val="center"/>
        </w:trPr>
        <w:tc>
          <w:tcPr>
            <w:tcW w:w="542" w:type="dxa"/>
            <w:vMerge w:val="restart"/>
            <w:tcMar>
              <w:top w:w="0" w:type="dxa"/>
              <w:left w:w="28" w:type="dxa"/>
              <w:bottom w:w="0" w:type="dxa"/>
              <w:right w:w="28" w:type="dxa"/>
            </w:tcMar>
            <w:vAlign w:val="center"/>
          </w:tcPr>
          <w:p w14:paraId="6B8B5999">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序号</w:t>
            </w:r>
          </w:p>
        </w:tc>
        <w:tc>
          <w:tcPr>
            <w:tcW w:w="550" w:type="dxa"/>
            <w:vMerge w:val="restart"/>
            <w:tcMar>
              <w:top w:w="0" w:type="dxa"/>
              <w:left w:w="28" w:type="dxa"/>
              <w:bottom w:w="0" w:type="dxa"/>
              <w:right w:w="28" w:type="dxa"/>
            </w:tcMar>
            <w:vAlign w:val="center"/>
          </w:tcPr>
          <w:p w14:paraId="37A2992F">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目录</w:t>
            </w:r>
          </w:p>
          <w:p w14:paraId="4C707B93">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条线</w:t>
            </w:r>
          </w:p>
        </w:tc>
        <w:tc>
          <w:tcPr>
            <w:tcW w:w="1472" w:type="dxa"/>
            <w:vMerge w:val="restart"/>
            <w:tcMar>
              <w:top w:w="0" w:type="dxa"/>
              <w:left w:w="28" w:type="dxa"/>
              <w:bottom w:w="0" w:type="dxa"/>
              <w:right w:w="28" w:type="dxa"/>
            </w:tcMar>
            <w:vAlign w:val="center"/>
          </w:tcPr>
          <w:p w14:paraId="50ABC86F">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基本编码</w:t>
            </w:r>
          </w:p>
        </w:tc>
        <w:tc>
          <w:tcPr>
            <w:tcW w:w="3832" w:type="dxa"/>
            <w:gridSpan w:val="2"/>
            <w:tcMar>
              <w:top w:w="0" w:type="dxa"/>
              <w:left w:w="28" w:type="dxa"/>
              <w:bottom w:w="0" w:type="dxa"/>
              <w:right w:w="28" w:type="dxa"/>
            </w:tcMar>
            <w:vAlign w:val="center"/>
          </w:tcPr>
          <w:p w14:paraId="09D06B47">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权力名称</w:t>
            </w:r>
          </w:p>
        </w:tc>
        <w:tc>
          <w:tcPr>
            <w:tcW w:w="610" w:type="dxa"/>
            <w:vMerge w:val="restart"/>
            <w:tcMar>
              <w:top w:w="0" w:type="dxa"/>
              <w:left w:w="28" w:type="dxa"/>
              <w:bottom w:w="0" w:type="dxa"/>
              <w:right w:w="28" w:type="dxa"/>
            </w:tcMar>
            <w:vAlign w:val="center"/>
          </w:tcPr>
          <w:p w14:paraId="6C3575D4">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权力</w:t>
            </w:r>
          </w:p>
          <w:p w14:paraId="0F6D5409">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类型</w:t>
            </w:r>
          </w:p>
        </w:tc>
        <w:tc>
          <w:tcPr>
            <w:tcW w:w="6091" w:type="dxa"/>
            <w:vMerge w:val="restart"/>
            <w:tcMar>
              <w:top w:w="0" w:type="dxa"/>
              <w:left w:w="28" w:type="dxa"/>
              <w:bottom w:w="0" w:type="dxa"/>
              <w:right w:w="28" w:type="dxa"/>
            </w:tcMar>
            <w:vAlign w:val="center"/>
          </w:tcPr>
          <w:p w14:paraId="17BD0C8E">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调整后依据</w:t>
            </w:r>
          </w:p>
        </w:tc>
      </w:tr>
      <w:tr w14:paraId="45C1C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cantSplit/>
          <w:trHeight w:val="242" w:hRule="atLeast"/>
          <w:tblHeader/>
          <w:jc w:val="center"/>
        </w:trPr>
        <w:tc>
          <w:tcPr>
            <w:tcW w:w="542" w:type="dxa"/>
            <w:vMerge w:val="continue"/>
            <w:tcMar>
              <w:top w:w="0" w:type="dxa"/>
              <w:left w:w="28" w:type="dxa"/>
              <w:bottom w:w="0" w:type="dxa"/>
              <w:right w:w="28" w:type="dxa"/>
            </w:tcMar>
            <w:vAlign w:val="center"/>
          </w:tcPr>
          <w:p w14:paraId="4440E7A1">
            <w:pPr>
              <w:widowControl/>
              <w:overflowPunct/>
              <w:snapToGrid/>
              <w:spacing w:line="280" w:lineRule="exact"/>
              <w:ind w:firstLine="0" w:firstLineChars="0"/>
              <w:jc w:val="center"/>
              <w:rPr>
                <w:rFonts w:ascii="Times New Roman" w:hAnsi="Times New Roman" w:eastAsia="方正黑体_GBK" w:cs="宋体"/>
                <w:kern w:val="0"/>
                <w:sz w:val="21"/>
                <w:szCs w:val="21"/>
              </w:rPr>
            </w:pPr>
          </w:p>
        </w:tc>
        <w:tc>
          <w:tcPr>
            <w:tcW w:w="550" w:type="dxa"/>
            <w:vMerge w:val="continue"/>
            <w:tcMar>
              <w:top w:w="0" w:type="dxa"/>
              <w:left w:w="28" w:type="dxa"/>
              <w:bottom w:w="0" w:type="dxa"/>
              <w:right w:w="28" w:type="dxa"/>
            </w:tcMar>
            <w:vAlign w:val="center"/>
          </w:tcPr>
          <w:p w14:paraId="5D2F0669">
            <w:pPr>
              <w:widowControl/>
              <w:overflowPunct/>
              <w:snapToGrid/>
              <w:spacing w:line="280" w:lineRule="exact"/>
              <w:ind w:firstLine="0" w:firstLineChars="0"/>
              <w:jc w:val="center"/>
              <w:rPr>
                <w:rFonts w:ascii="Times New Roman" w:hAnsi="Times New Roman" w:eastAsia="方正黑体_GBK" w:cs="宋体"/>
                <w:kern w:val="0"/>
                <w:sz w:val="21"/>
                <w:szCs w:val="21"/>
              </w:rPr>
            </w:pPr>
          </w:p>
        </w:tc>
        <w:tc>
          <w:tcPr>
            <w:tcW w:w="1472" w:type="dxa"/>
            <w:vMerge w:val="continue"/>
            <w:tcMar>
              <w:top w:w="0" w:type="dxa"/>
              <w:left w:w="28" w:type="dxa"/>
              <w:bottom w:w="0" w:type="dxa"/>
              <w:right w:w="28" w:type="dxa"/>
            </w:tcMar>
            <w:vAlign w:val="center"/>
          </w:tcPr>
          <w:p w14:paraId="116337B0">
            <w:pPr>
              <w:widowControl/>
              <w:overflowPunct/>
              <w:snapToGrid/>
              <w:spacing w:line="280" w:lineRule="exact"/>
              <w:ind w:firstLine="0" w:firstLineChars="0"/>
              <w:jc w:val="center"/>
              <w:rPr>
                <w:rFonts w:ascii="Times New Roman" w:hAnsi="Times New Roman" w:eastAsia="方正黑体_GBK" w:cs="宋体"/>
                <w:kern w:val="0"/>
                <w:sz w:val="21"/>
                <w:szCs w:val="21"/>
              </w:rPr>
            </w:pPr>
          </w:p>
        </w:tc>
        <w:tc>
          <w:tcPr>
            <w:tcW w:w="1957" w:type="dxa"/>
            <w:tcMar>
              <w:top w:w="0" w:type="dxa"/>
              <w:left w:w="28" w:type="dxa"/>
              <w:bottom w:w="0" w:type="dxa"/>
              <w:right w:w="28" w:type="dxa"/>
            </w:tcMar>
            <w:vAlign w:val="center"/>
          </w:tcPr>
          <w:p w14:paraId="62A8A6C6">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调整前项目名称</w:t>
            </w:r>
          </w:p>
        </w:tc>
        <w:tc>
          <w:tcPr>
            <w:tcW w:w="1875" w:type="dxa"/>
            <w:tcMar>
              <w:top w:w="0" w:type="dxa"/>
              <w:left w:w="28" w:type="dxa"/>
              <w:bottom w:w="0" w:type="dxa"/>
              <w:right w:w="28" w:type="dxa"/>
            </w:tcMar>
            <w:vAlign w:val="center"/>
          </w:tcPr>
          <w:p w14:paraId="15DC5213">
            <w:pPr>
              <w:widowControl/>
              <w:overflowPunct/>
              <w:snapToGrid/>
              <w:spacing w:line="280" w:lineRule="exact"/>
              <w:ind w:firstLine="0" w:firstLineChars="0"/>
              <w:jc w:val="center"/>
              <w:rPr>
                <w:rFonts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调整后项目名称</w:t>
            </w:r>
          </w:p>
        </w:tc>
        <w:tc>
          <w:tcPr>
            <w:tcW w:w="610" w:type="dxa"/>
            <w:vMerge w:val="continue"/>
            <w:tcMar>
              <w:top w:w="0" w:type="dxa"/>
              <w:left w:w="28" w:type="dxa"/>
              <w:bottom w:w="0" w:type="dxa"/>
              <w:right w:w="28" w:type="dxa"/>
            </w:tcMar>
            <w:vAlign w:val="center"/>
          </w:tcPr>
          <w:p w14:paraId="4E225B0B">
            <w:pPr>
              <w:widowControl/>
              <w:overflowPunct/>
              <w:snapToGrid/>
              <w:spacing w:line="280" w:lineRule="exact"/>
              <w:ind w:firstLine="0" w:firstLineChars="0"/>
              <w:jc w:val="center"/>
              <w:rPr>
                <w:rFonts w:ascii="Times New Roman" w:hAnsi="Times New Roman" w:eastAsia="方正黑体_GBK" w:cs="宋体"/>
                <w:kern w:val="0"/>
                <w:sz w:val="21"/>
                <w:szCs w:val="21"/>
              </w:rPr>
            </w:pPr>
          </w:p>
        </w:tc>
        <w:tc>
          <w:tcPr>
            <w:tcW w:w="6091" w:type="dxa"/>
            <w:vMerge w:val="continue"/>
            <w:tcMar>
              <w:top w:w="0" w:type="dxa"/>
              <w:left w:w="28" w:type="dxa"/>
              <w:bottom w:w="0" w:type="dxa"/>
              <w:right w:w="28" w:type="dxa"/>
            </w:tcMar>
            <w:vAlign w:val="center"/>
          </w:tcPr>
          <w:p w14:paraId="0047199D">
            <w:pPr>
              <w:widowControl/>
              <w:overflowPunct/>
              <w:snapToGrid/>
              <w:spacing w:line="280" w:lineRule="exact"/>
              <w:ind w:firstLine="0" w:firstLineChars="0"/>
              <w:rPr>
                <w:rFonts w:ascii="Times New Roman" w:hAnsi="Times New Roman" w:eastAsia="方正黑体_GBK" w:cs="宋体"/>
                <w:kern w:val="0"/>
                <w:sz w:val="21"/>
                <w:szCs w:val="21"/>
              </w:rPr>
            </w:pPr>
          </w:p>
        </w:tc>
      </w:tr>
      <w:tr w14:paraId="5378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cantSplit/>
          <w:trHeight w:val="4442" w:hRule="atLeast"/>
          <w:jc w:val="center"/>
        </w:trPr>
        <w:tc>
          <w:tcPr>
            <w:tcW w:w="542" w:type="dxa"/>
            <w:tcMar>
              <w:top w:w="0" w:type="dxa"/>
              <w:left w:w="28" w:type="dxa"/>
              <w:bottom w:w="0" w:type="dxa"/>
              <w:right w:w="28" w:type="dxa"/>
            </w:tcMar>
            <w:vAlign w:val="center"/>
          </w:tcPr>
          <w:p w14:paraId="06A40165">
            <w:pPr>
              <w:spacing w:line="280" w:lineRule="exact"/>
              <w:ind w:firstLine="0" w:firstLineChars="0"/>
              <w:jc w:val="center"/>
              <w:rPr>
                <w:rFonts w:ascii="Times New Roman" w:hAnsi="Times New Roman" w:eastAsia="宋体" w:cs="宋体"/>
                <w:color w:val="000000"/>
                <w:sz w:val="21"/>
                <w:szCs w:val="21"/>
              </w:rPr>
            </w:pPr>
            <w:r>
              <w:rPr>
                <w:rFonts w:hint="eastAsia" w:ascii="Times New Roman" w:hAnsi="Times New Roman"/>
                <w:color w:val="000000"/>
                <w:sz w:val="21"/>
                <w:szCs w:val="21"/>
              </w:rPr>
              <w:t>1</w:t>
            </w:r>
          </w:p>
        </w:tc>
        <w:tc>
          <w:tcPr>
            <w:tcW w:w="550" w:type="dxa"/>
            <w:tcMar>
              <w:top w:w="0" w:type="dxa"/>
              <w:left w:w="28" w:type="dxa"/>
              <w:bottom w:w="0" w:type="dxa"/>
              <w:right w:w="28" w:type="dxa"/>
            </w:tcMar>
            <w:vAlign w:val="center"/>
          </w:tcPr>
          <w:p w14:paraId="10AC1243">
            <w:pPr>
              <w:snapToGrid/>
              <w:spacing w:line="280" w:lineRule="exact"/>
              <w:ind w:firstLine="0" w:firstLineChars="0"/>
              <w:jc w:val="center"/>
              <w:rPr>
                <w:rFonts w:ascii="Times New Roman" w:hAnsi="Times New Roman" w:eastAsia="方正书宋_GBK" w:cs="宋体"/>
                <w:sz w:val="21"/>
                <w:szCs w:val="21"/>
              </w:rPr>
            </w:pPr>
            <w:r>
              <w:rPr>
                <w:rFonts w:hint="eastAsia" w:ascii="Times New Roman" w:hAnsi="Times New Roman" w:cs="宋体"/>
                <w:sz w:val="21"/>
                <w:szCs w:val="21"/>
              </w:rPr>
              <w:t>教育部门</w:t>
            </w:r>
          </w:p>
        </w:tc>
        <w:tc>
          <w:tcPr>
            <w:tcW w:w="1472" w:type="dxa"/>
            <w:tcMar>
              <w:top w:w="0" w:type="dxa"/>
              <w:left w:w="28" w:type="dxa"/>
              <w:bottom w:w="0" w:type="dxa"/>
              <w:right w:w="28" w:type="dxa"/>
            </w:tcMar>
            <w:vAlign w:val="center"/>
          </w:tcPr>
          <w:p w14:paraId="2272BB38">
            <w:pPr>
              <w:snapToGrid/>
              <w:spacing w:line="280" w:lineRule="exact"/>
              <w:ind w:firstLine="0" w:firstLineChars="0"/>
              <w:rPr>
                <w:rFonts w:ascii="Times New Roman" w:hAnsi="Times New Roman" w:eastAsia="方正书宋_GBK" w:cs="宋体"/>
                <w:sz w:val="21"/>
                <w:szCs w:val="21"/>
              </w:rPr>
            </w:pPr>
            <w:r>
              <w:rPr>
                <w:rFonts w:hint="eastAsia" w:ascii="Times New Roman" w:hAnsi="Times New Roman" w:cs="宋体"/>
                <w:sz w:val="21"/>
                <w:szCs w:val="21"/>
              </w:rPr>
              <w:t>321005006000</w:t>
            </w:r>
          </w:p>
        </w:tc>
        <w:tc>
          <w:tcPr>
            <w:tcW w:w="1957" w:type="dxa"/>
            <w:tcMar>
              <w:top w:w="0" w:type="dxa"/>
              <w:left w:w="28" w:type="dxa"/>
              <w:bottom w:w="0" w:type="dxa"/>
              <w:right w:w="28" w:type="dxa"/>
            </w:tcMar>
            <w:vAlign w:val="center"/>
          </w:tcPr>
          <w:p w14:paraId="7CC6F299">
            <w:pPr>
              <w:snapToGrid/>
              <w:spacing w:line="280" w:lineRule="exact"/>
              <w:ind w:firstLine="0" w:firstLineChars="0"/>
              <w:rPr>
                <w:rFonts w:ascii="Times New Roman" w:hAnsi="Times New Roman" w:eastAsia="方正书宋_GBK" w:cs="宋体"/>
                <w:kern w:val="0"/>
                <w:sz w:val="21"/>
                <w:szCs w:val="21"/>
              </w:rPr>
            </w:pPr>
            <w:r>
              <w:rPr>
                <w:rFonts w:hint="eastAsia" w:ascii="Times New Roman" w:hAnsi="Times New Roman" w:cs="宋体"/>
                <w:kern w:val="0"/>
                <w:sz w:val="21"/>
                <w:szCs w:val="21"/>
              </w:rPr>
              <w:t>民办学校修改章程的备案</w:t>
            </w:r>
          </w:p>
        </w:tc>
        <w:tc>
          <w:tcPr>
            <w:tcW w:w="1875" w:type="dxa"/>
            <w:tcMar>
              <w:top w:w="0" w:type="dxa"/>
              <w:left w:w="28" w:type="dxa"/>
              <w:bottom w:w="0" w:type="dxa"/>
              <w:right w:w="28" w:type="dxa"/>
            </w:tcMar>
            <w:vAlign w:val="center"/>
          </w:tcPr>
          <w:p w14:paraId="4DEF14DC">
            <w:pPr>
              <w:widowControl/>
              <w:overflowPunct/>
              <w:snapToGrid/>
              <w:spacing w:line="280" w:lineRule="exact"/>
              <w:ind w:firstLine="0" w:firstLineChars="0"/>
              <w:rPr>
                <w:rFonts w:ascii="Times New Roman" w:hAnsi="Times New Roman" w:eastAsia="方正书宋_GBK" w:cs="宋体"/>
                <w:kern w:val="0"/>
                <w:sz w:val="21"/>
                <w:szCs w:val="21"/>
              </w:rPr>
            </w:pPr>
            <w:r>
              <w:rPr>
                <w:rFonts w:hint="eastAsia" w:ascii="Times New Roman" w:hAnsi="Times New Roman" w:cs="宋体"/>
                <w:kern w:val="0"/>
                <w:sz w:val="21"/>
                <w:szCs w:val="21"/>
              </w:rPr>
              <w:t>对民办学校修改章程的备案</w:t>
            </w:r>
          </w:p>
        </w:tc>
        <w:tc>
          <w:tcPr>
            <w:tcW w:w="610" w:type="dxa"/>
            <w:tcMar>
              <w:top w:w="0" w:type="dxa"/>
              <w:left w:w="28" w:type="dxa"/>
              <w:bottom w:w="0" w:type="dxa"/>
              <w:right w:w="28" w:type="dxa"/>
            </w:tcMar>
            <w:vAlign w:val="center"/>
          </w:tcPr>
          <w:p w14:paraId="68AA910A">
            <w:pPr>
              <w:snapToGrid/>
              <w:spacing w:line="280" w:lineRule="exact"/>
              <w:ind w:firstLine="0" w:firstLineChars="0"/>
              <w:jc w:val="center"/>
              <w:rPr>
                <w:rFonts w:ascii="Times New Roman" w:hAnsi="Times New Roman" w:eastAsia="方正书宋_GBK" w:cs="宋体"/>
                <w:sz w:val="21"/>
                <w:szCs w:val="21"/>
              </w:rPr>
            </w:pPr>
            <w:r>
              <w:rPr>
                <w:rFonts w:hint="eastAsia" w:ascii="Times New Roman" w:hAnsi="Times New Roman" w:cs="宋体"/>
                <w:sz w:val="21"/>
                <w:szCs w:val="21"/>
              </w:rPr>
              <w:t>其他行政权力</w:t>
            </w:r>
          </w:p>
        </w:tc>
        <w:tc>
          <w:tcPr>
            <w:tcW w:w="6091" w:type="dxa"/>
            <w:tcMar>
              <w:top w:w="0" w:type="dxa"/>
              <w:left w:w="28" w:type="dxa"/>
              <w:bottom w:w="0" w:type="dxa"/>
              <w:right w:w="28" w:type="dxa"/>
            </w:tcMar>
            <w:vAlign w:val="center"/>
          </w:tcPr>
          <w:p w14:paraId="29321495">
            <w:pPr>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【行政法规】《中华人民共和国民办教育促进法实施条例》（国务院令第741号）</w:t>
            </w:r>
          </w:p>
          <w:p w14:paraId="3A986DE7">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第十九条民办学校的章程应当规定下列主要事项：</w:t>
            </w:r>
          </w:p>
          <w:p w14:paraId="4398DA05">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（一）学校的名称、住所、办学地址、法人属性；</w:t>
            </w:r>
          </w:p>
          <w:p w14:paraId="520D7FA4">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（二）举办者的权利义务，举办者变更、权益转让的办法；</w:t>
            </w:r>
          </w:p>
          <w:p w14:paraId="61A3785C">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（三）办学宗旨、发展定位、层次、类型、规模、形式等；</w:t>
            </w:r>
          </w:p>
          <w:p w14:paraId="35F843E5">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（四）学校开办资金、注册资本，资产的来源、性质等；</w:t>
            </w:r>
          </w:p>
          <w:p w14:paraId="0A145790">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（五）理事会、董事会或者其他形式决策机构和监督机构的产生方法、人员构成、任期、议事规则等；</w:t>
            </w:r>
          </w:p>
          <w:p w14:paraId="7F8B96B3">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（六）学校党组织负责人或者代表进入学校决策机构和监督机构的程序；</w:t>
            </w:r>
          </w:p>
          <w:p w14:paraId="590794A5">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（七）学校的法定代表人；</w:t>
            </w:r>
          </w:p>
          <w:p w14:paraId="0248A2B4">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（八）学校自行终止的事由，剩余资产处置的办法与程序；</w:t>
            </w:r>
          </w:p>
          <w:p w14:paraId="2AFC9B5F">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（九）章程修改程序。民办学校应当将章程向社会公示，修订章程应当事先公告，征求利益相关方意见。完成修订后，报主管部门备案或者核准。</w:t>
            </w:r>
          </w:p>
        </w:tc>
      </w:tr>
      <w:tr w14:paraId="596CD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17" w:type="dxa"/>
            <w:bottom w:w="17" w:type="dxa"/>
            <w:right w:w="17" w:type="dxa"/>
          </w:tblCellMar>
        </w:tblPrEx>
        <w:trPr>
          <w:cantSplit/>
          <w:trHeight w:val="2502" w:hRule="atLeast"/>
          <w:jc w:val="center"/>
        </w:trPr>
        <w:tc>
          <w:tcPr>
            <w:tcW w:w="542" w:type="dxa"/>
            <w:tcMar>
              <w:top w:w="0" w:type="dxa"/>
              <w:left w:w="28" w:type="dxa"/>
              <w:bottom w:w="0" w:type="dxa"/>
              <w:right w:w="28" w:type="dxa"/>
            </w:tcMar>
            <w:vAlign w:val="center"/>
          </w:tcPr>
          <w:p w14:paraId="17124004">
            <w:pPr>
              <w:spacing w:line="280" w:lineRule="exact"/>
              <w:ind w:firstLine="0" w:firstLineChars="0"/>
              <w:jc w:val="center"/>
              <w:rPr>
                <w:rFonts w:ascii="Times New Roman" w:hAnsi="Times New Roman" w:eastAsia="宋体" w:cs="宋体"/>
                <w:color w:val="000000"/>
                <w:sz w:val="21"/>
                <w:szCs w:val="21"/>
              </w:rPr>
            </w:pPr>
            <w:r>
              <w:rPr>
                <w:rFonts w:hint="eastAsia" w:ascii="Times New Roman" w:hAnsi="Times New Roman"/>
                <w:color w:val="000000"/>
                <w:sz w:val="21"/>
                <w:szCs w:val="21"/>
              </w:rPr>
              <w:t>2</w:t>
            </w:r>
          </w:p>
        </w:tc>
        <w:tc>
          <w:tcPr>
            <w:tcW w:w="550" w:type="dxa"/>
            <w:tcMar>
              <w:top w:w="0" w:type="dxa"/>
              <w:left w:w="28" w:type="dxa"/>
              <w:bottom w:w="0" w:type="dxa"/>
              <w:right w:w="28" w:type="dxa"/>
            </w:tcMar>
            <w:vAlign w:val="center"/>
          </w:tcPr>
          <w:p w14:paraId="0F3E1F7C">
            <w:pPr>
              <w:snapToGrid/>
              <w:spacing w:line="280" w:lineRule="exact"/>
              <w:ind w:firstLine="0" w:firstLineChars="0"/>
              <w:jc w:val="center"/>
              <w:rPr>
                <w:rFonts w:ascii="Times New Roman" w:hAnsi="Times New Roman" w:eastAsia="方正书宋_GBK" w:cs="宋体"/>
                <w:sz w:val="21"/>
                <w:szCs w:val="21"/>
              </w:rPr>
            </w:pPr>
            <w:r>
              <w:rPr>
                <w:rFonts w:hint="eastAsia" w:ascii="Times New Roman" w:hAnsi="Times New Roman" w:cs="宋体"/>
                <w:sz w:val="21"/>
                <w:szCs w:val="21"/>
              </w:rPr>
              <w:t>教育部门</w:t>
            </w:r>
          </w:p>
        </w:tc>
        <w:tc>
          <w:tcPr>
            <w:tcW w:w="1472" w:type="dxa"/>
            <w:tcMar>
              <w:top w:w="0" w:type="dxa"/>
              <w:left w:w="28" w:type="dxa"/>
              <w:bottom w:w="0" w:type="dxa"/>
              <w:right w:w="28" w:type="dxa"/>
            </w:tcMar>
            <w:vAlign w:val="center"/>
          </w:tcPr>
          <w:p w14:paraId="62043D70">
            <w:pPr>
              <w:snapToGrid/>
              <w:spacing w:line="280" w:lineRule="exact"/>
              <w:ind w:firstLine="0" w:firstLineChars="0"/>
              <w:rPr>
                <w:rFonts w:ascii="Times New Roman" w:hAnsi="Times New Roman" w:eastAsia="方正书宋_GBK" w:cs="宋体"/>
                <w:sz w:val="21"/>
                <w:szCs w:val="21"/>
              </w:rPr>
            </w:pPr>
            <w:r>
              <w:rPr>
                <w:rFonts w:hint="eastAsia" w:ascii="Times New Roman" w:hAnsi="Times New Roman" w:cs="宋体"/>
                <w:sz w:val="21"/>
                <w:szCs w:val="21"/>
              </w:rPr>
              <w:t>321005014000</w:t>
            </w:r>
          </w:p>
        </w:tc>
        <w:tc>
          <w:tcPr>
            <w:tcW w:w="1957" w:type="dxa"/>
            <w:tcMar>
              <w:top w:w="0" w:type="dxa"/>
              <w:left w:w="28" w:type="dxa"/>
              <w:bottom w:w="0" w:type="dxa"/>
              <w:right w:w="28" w:type="dxa"/>
            </w:tcMar>
            <w:vAlign w:val="center"/>
          </w:tcPr>
          <w:p w14:paraId="2DB67BA2">
            <w:pPr>
              <w:snapToGrid/>
              <w:spacing w:line="280" w:lineRule="exact"/>
              <w:ind w:firstLine="0" w:firstLineChars="0"/>
              <w:rPr>
                <w:rFonts w:ascii="Times New Roman" w:hAnsi="Times New Roman" w:eastAsia="方正书宋_GBK" w:cs="宋体"/>
                <w:kern w:val="0"/>
                <w:sz w:val="21"/>
                <w:szCs w:val="21"/>
              </w:rPr>
            </w:pPr>
            <w:r>
              <w:rPr>
                <w:rFonts w:hint="eastAsia" w:ascii="Times New Roman" w:hAnsi="Times New Roman" w:cs="宋体"/>
                <w:kern w:val="0"/>
                <w:sz w:val="21"/>
                <w:szCs w:val="21"/>
              </w:rPr>
              <w:t>民办高等学校招生简章和广告备案</w:t>
            </w:r>
          </w:p>
        </w:tc>
        <w:tc>
          <w:tcPr>
            <w:tcW w:w="1875" w:type="dxa"/>
            <w:tcMar>
              <w:top w:w="0" w:type="dxa"/>
              <w:left w:w="28" w:type="dxa"/>
              <w:bottom w:w="0" w:type="dxa"/>
              <w:right w:w="28" w:type="dxa"/>
            </w:tcMar>
            <w:vAlign w:val="center"/>
          </w:tcPr>
          <w:p w14:paraId="064496DE">
            <w:pPr>
              <w:widowControl/>
              <w:overflowPunct/>
              <w:snapToGrid/>
              <w:spacing w:line="280" w:lineRule="exact"/>
              <w:ind w:firstLine="0" w:firstLineChars="0"/>
              <w:rPr>
                <w:rFonts w:ascii="Times New Roman" w:hAnsi="Times New Roman" w:eastAsia="方正书宋_GBK" w:cs="宋体"/>
                <w:kern w:val="0"/>
                <w:sz w:val="21"/>
                <w:szCs w:val="21"/>
              </w:rPr>
            </w:pPr>
            <w:r>
              <w:rPr>
                <w:rFonts w:hint="eastAsia" w:ascii="Times New Roman" w:hAnsi="Times New Roman" w:cs="宋体"/>
                <w:kern w:val="0"/>
                <w:sz w:val="21"/>
                <w:szCs w:val="21"/>
              </w:rPr>
              <w:t>对民办高等学校招生简章和广告的备案</w:t>
            </w:r>
          </w:p>
        </w:tc>
        <w:tc>
          <w:tcPr>
            <w:tcW w:w="610" w:type="dxa"/>
            <w:tcMar>
              <w:top w:w="0" w:type="dxa"/>
              <w:left w:w="28" w:type="dxa"/>
              <w:bottom w:w="0" w:type="dxa"/>
              <w:right w:w="28" w:type="dxa"/>
            </w:tcMar>
            <w:vAlign w:val="center"/>
          </w:tcPr>
          <w:p w14:paraId="61989D02">
            <w:pPr>
              <w:snapToGrid/>
              <w:spacing w:line="280" w:lineRule="exact"/>
              <w:ind w:firstLine="0" w:firstLineChars="0"/>
              <w:jc w:val="center"/>
              <w:rPr>
                <w:rFonts w:ascii="Times New Roman" w:hAnsi="Times New Roman" w:eastAsia="方正书宋_GBK" w:cs="宋体"/>
                <w:sz w:val="21"/>
                <w:szCs w:val="21"/>
              </w:rPr>
            </w:pPr>
            <w:r>
              <w:rPr>
                <w:rFonts w:hint="eastAsia" w:ascii="Times New Roman" w:hAnsi="Times New Roman" w:cs="宋体"/>
                <w:sz w:val="21"/>
                <w:szCs w:val="21"/>
              </w:rPr>
              <w:t>其他行政权力</w:t>
            </w:r>
          </w:p>
        </w:tc>
        <w:tc>
          <w:tcPr>
            <w:tcW w:w="6091" w:type="dxa"/>
            <w:tcMar>
              <w:top w:w="0" w:type="dxa"/>
              <w:left w:w="28" w:type="dxa"/>
              <w:bottom w:w="0" w:type="dxa"/>
              <w:right w:w="28" w:type="dxa"/>
            </w:tcMar>
            <w:vAlign w:val="center"/>
          </w:tcPr>
          <w:p w14:paraId="4C09A0E2">
            <w:pPr>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【法律】《中华人民共和国民办教育促进法》</w:t>
            </w:r>
          </w:p>
          <w:p w14:paraId="7891EE91">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第四十二条民办学校的招生简章和广告，应当报审批机关备案。</w:t>
            </w:r>
          </w:p>
          <w:p w14:paraId="2B98AA6A">
            <w:pPr>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【规章】《民办高等学校办学管理若干规定》（教育部令第25号）</w:t>
            </w:r>
          </w:p>
          <w:p w14:paraId="757B84BE">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第十二条第二款民办高校应当依法将招生简章和广告报审批机关或其委托的机关备案。发布的招生简章和广告必须与备案的内容相一致。未经备案的招生简章和广告不得发布。</w:t>
            </w:r>
          </w:p>
          <w:p w14:paraId="17D31EDD">
            <w:pPr>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【规章】《独立学院设置与管理办法》（教育部令第26号）</w:t>
            </w:r>
          </w:p>
          <w:p w14:paraId="0059974B">
            <w:pPr>
              <w:tabs>
                <w:tab w:val="left" w:pos="2520"/>
              </w:tabs>
              <w:overflowPunct/>
              <w:snapToGrid/>
              <w:spacing w:line="280" w:lineRule="exact"/>
              <w:ind w:firstLine="0" w:firstLineChars="0"/>
              <w:rPr>
                <w:rFonts w:ascii="Times New Roman" w:hAnsi="Times New Roman" w:cs="宋体"/>
                <w:sz w:val="21"/>
                <w:szCs w:val="21"/>
              </w:rPr>
            </w:pPr>
            <w:r>
              <w:rPr>
                <w:rFonts w:hint="eastAsia" w:ascii="Times New Roman" w:hAnsi="Times New Roman" w:cs="宋体"/>
                <w:sz w:val="21"/>
                <w:szCs w:val="21"/>
              </w:rPr>
              <w:t>第四十五条独立学院的招生简章和广告的样本，应当及时报省级教育行政部门备案。未经备案的招生简章和广告，不得发布。</w:t>
            </w:r>
          </w:p>
        </w:tc>
      </w:tr>
    </w:tbl>
    <w:p w14:paraId="1531C2FF">
      <w:pPr>
        <w:keepNext w:val="0"/>
        <w:keepLines w:val="0"/>
        <w:pageBreakBefore w:val="0"/>
        <w:widowControl w:val="0"/>
        <w:kinsoku/>
        <w:wordWrap/>
        <w:overflowPunct w:val="0"/>
        <w:topLinePunct w:val="0"/>
        <w:autoSpaceDE/>
        <w:autoSpaceDN/>
        <w:bidi w:val="0"/>
        <w:adjustRightInd/>
        <w:snapToGrid w:val="0"/>
        <w:spacing w:line="240" w:lineRule="atLeast"/>
        <w:ind w:firstLine="0" w:firstLineChars="0"/>
        <w:textAlignment w:val="auto"/>
        <w:rPr>
          <w:rFonts w:ascii="Times New Roman" w:hAnsi="Times New Roman"/>
          <w:sz w:val="28"/>
          <w:szCs w:val="28"/>
        </w:rPr>
      </w:pPr>
      <w:bookmarkStart w:id="8" w:name="_GoBack"/>
      <w:bookmarkEnd w:id="8"/>
    </w:p>
    <w:sectPr>
      <w:headerReference r:id="rId5" w:type="default"/>
      <w:footerReference r:id="rId7" w:type="default"/>
      <w:headerReference r:id="rId6" w:type="even"/>
      <w:footerReference r:id="rId8" w:type="even"/>
      <w:pgSz w:w="16840" w:h="11907" w:orient="landscape"/>
      <w:pgMar w:top="1531" w:right="1814" w:bottom="1531" w:left="1985" w:header="567" w:footer="1418" w:gutter="0"/>
      <w:cols w:space="720" w:num="1"/>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ook Antiqua">
    <w:altName w:val="Segoe Print"/>
    <w:panose1 w:val="00000000000000000000"/>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黑体简体">
    <w:panose1 w:val="02010601030101010101"/>
    <w:charset w:val="86"/>
    <w:family w:val="script"/>
    <w:pitch w:val="default"/>
    <w:sig w:usb0="00000001" w:usb1="080E0000" w:usb2="00000000" w:usb3="00000000" w:csb0="00040000" w:csb1="00000000"/>
  </w:font>
  <w:font w:name="汉鼎简大宋">
    <w:altName w:val="新宋体"/>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7195F">
    <w:pPr>
      <w:pStyle w:val="10"/>
      <w:framePr w:wrap="around"/>
    </w:pPr>
    <w:r>
      <w:rPr>
        <w:rFonts w:hint="eastAsia"/>
      </w:rPr>
      <w:t>─</w:t>
    </w:r>
    <w:r>
      <w:t xml:space="preserve"> </w:t>
    </w:r>
    <w:r>
      <w:fldChar w:fldCharType="begin"/>
    </w:r>
    <w:r>
      <w:instrText xml:space="preserve">PAGE  </w:instrText>
    </w:r>
    <w:r>
      <w:fldChar w:fldCharType="separate"/>
    </w:r>
    <w:r>
      <w:t>1</w:t>
    </w:r>
    <w:r>
      <w:fldChar w:fldCharType="end"/>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A459">
    <w:pPr>
      <w:pStyle w:val="10"/>
      <w:framePr w:wrap="around"/>
      <w:ind w:firstLine="300" w:firstLineChars="100"/>
    </w:pPr>
    <w:r>
      <w:rPr>
        <w:rFonts w:hint="eastAsia"/>
      </w:rPr>
      <w:t>─</w:t>
    </w:r>
    <w:r>
      <w:t xml:space="preserve"> </w:t>
    </w:r>
    <w:r>
      <w:fldChar w:fldCharType="begin"/>
    </w:r>
    <w:r>
      <w:instrText xml:space="preserve">PAGE  </w:instrText>
    </w:r>
    <w:r>
      <w:fldChar w:fldCharType="separate"/>
    </w:r>
    <w:r>
      <w:t>2</w:t>
    </w:r>
    <w:r>
      <w:fldChar w:fldCharType="end"/>
    </w:r>
    <w: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3A5E">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8852">
    <w:pPr>
      <w:pStyle w:val="11"/>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attachedTemplate r:id="rId1"/>
  <w:documentProtection w:enforcement="0"/>
  <w:defaultTabStop w:val="426"/>
  <w:evenAndOddHeaders w:val="1"/>
  <w:drawingGridHorizontalSpacing w:val="317"/>
  <w:drawingGridVerticalSpacing w:val="28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2U1MjVlNDliMDdmYzVmYjFiNDNlN2NjNDEzYmMifQ=="/>
  </w:docVars>
  <w:rsids>
    <w:rsidRoot w:val="00AD462E"/>
    <w:rsid w:val="00011976"/>
    <w:rsid w:val="00037F20"/>
    <w:rsid w:val="000612D7"/>
    <w:rsid w:val="00074E94"/>
    <w:rsid w:val="00085489"/>
    <w:rsid w:val="000968D0"/>
    <w:rsid w:val="000A466B"/>
    <w:rsid w:val="000B5806"/>
    <w:rsid w:val="000C7B74"/>
    <w:rsid w:val="000D1916"/>
    <w:rsid w:val="000F296D"/>
    <w:rsid w:val="001246AA"/>
    <w:rsid w:val="00142B06"/>
    <w:rsid w:val="00156809"/>
    <w:rsid w:val="001872A3"/>
    <w:rsid w:val="001B67E9"/>
    <w:rsid w:val="001D7278"/>
    <w:rsid w:val="0020135D"/>
    <w:rsid w:val="002028F7"/>
    <w:rsid w:val="00220A92"/>
    <w:rsid w:val="0022411F"/>
    <w:rsid w:val="00241CEF"/>
    <w:rsid w:val="00273BF1"/>
    <w:rsid w:val="0028227E"/>
    <w:rsid w:val="00282FB3"/>
    <w:rsid w:val="00295774"/>
    <w:rsid w:val="002A5527"/>
    <w:rsid w:val="002B757E"/>
    <w:rsid w:val="002F3716"/>
    <w:rsid w:val="00315533"/>
    <w:rsid w:val="00316860"/>
    <w:rsid w:val="00321F50"/>
    <w:rsid w:val="0032620B"/>
    <w:rsid w:val="0034579B"/>
    <w:rsid w:val="00352441"/>
    <w:rsid w:val="0036058B"/>
    <w:rsid w:val="00370A0F"/>
    <w:rsid w:val="00391730"/>
    <w:rsid w:val="00391C81"/>
    <w:rsid w:val="0039626B"/>
    <w:rsid w:val="003B1603"/>
    <w:rsid w:val="003B7A12"/>
    <w:rsid w:val="003C7B41"/>
    <w:rsid w:val="003D0039"/>
    <w:rsid w:val="003E54E8"/>
    <w:rsid w:val="003F42D5"/>
    <w:rsid w:val="0040064A"/>
    <w:rsid w:val="004175B2"/>
    <w:rsid w:val="0042333B"/>
    <w:rsid w:val="0043298D"/>
    <w:rsid w:val="00435B3D"/>
    <w:rsid w:val="00474A6E"/>
    <w:rsid w:val="004908C7"/>
    <w:rsid w:val="00490F91"/>
    <w:rsid w:val="004B36F2"/>
    <w:rsid w:val="00530F84"/>
    <w:rsid w:val="00542FC1"/>
    <w:rsid w:val="00563075"/>
    <w:rsid w:val="005656BC"/>
    <w:rsid w:val="0056727F"/>
    <w:rsid w:val="00587DCD"/>
    <w:rsid w:val="005956C7"/>
    <w:rsid w:val="005A24D3"/>
    <w:rsid w:val="005A7D1D"/>
    <w:rsid w:val="005C66B5"/>
    <w:rsid w:val="005E12C3"/>
    <w:rsid w:val="00603E5B"/>
    <w:rsid w:val="00610439"/>
    <w:rsid w:val="0063692C"/>
    <w:rsid w:val="00644207"/>
    <w:rsid w:val="006475FE"/>
    <w:rsid w:val="00647F7B"/>
    <w:rsid w:val="00652D0D"/>
    <w:rsid w:val="006A0446"/>
    <w:rsid w:val="006A6909"/>
    <w:rsid w:val="007036D0"/>
    <w:rsid w:val="00706D6D"/>
    <w:rsid w:val="007235B7"/>
    <w:rsid w:val="0076109D"/>
    <w:rsid w:val="00766564"/>
    <w:rsid w:val="00773C63"/>
    <w:rsid w:val="007806B2"/>
    <w:rsid w:val="00787DF2"/>
    <w:rsid w:val="00797320"/>
    <w:rsid w:val="007A2247"/>
    <w:rsid w:val="007C67A4"/>
    <w:rsid w:val="008137D3"/>
    <w:rsid w:val="008177D1"/>
    <w:rsid w:val="0085479B"/>
    <w:rsid w:val="00872274"/>
    <w:rsid w:val="00894AAA"/>
    <w:rsid w:val="008A5959"/>
    <w:rsid w:val="008C3BC7"/>
    <w:rsid w:val="008D3AD0"/>
    <w:rsid w:val="008E4FBD"/>
    <w:rsid w:val="008F0C2D"/>
    <w:rsid w:val="009036EB"/>
    <w:rsid w:val="009124A2"/>
    <w:rsid w:val="009210CE"/>
    <w:rsid w:val="009279A5"/>
    <w:rsid w:val="00947D64"/>
    <w:rsid w:val="0095665C"/>
    <w:rsid w:val="00964EFC"/>
    <w:rsid w:val="00966568"/>
    <w:rsid w:val="00991799"/>
    <w:rsid w:val="009D7312"/>
    <w:rsid w:val="009E0143"/>
    <w:rsid w:val="009E41C6"/>
    <w:rsid w:val="00A0129B"/>
    <w:rsid w:val="00A31A83"/>
    <w:rsid w:val="00A4222E"/>
    <w:rsid w:val="00A4229F"/>
    <w:rsid w:val="00A561B4"/>
    <w:rsid w:val="00A666E0"/>
    <w:rsid w:val="00A671E5"/>
    <w:rsid w:val="00A73B3E"/>
    <w:rsid w:val="00A86A45"/>
    <w:rsid w:val="00AA4ACC"/>
    <w:rsid w:val="00AD0677"/>
    <w:rsid w:val="00AD462E"/>
    <w:rsid w:val="00AD7199"/>
    <w:rsid w:val="00B014D5"/>
    <w:rsid w:val="00B13D17"/>
    <w:rsid w:val="00B24129"/>
    <w:rsid w:val="00B25C1D"/>
    <w:rsid w:val="00B64E5B"/>
    <w:rsid w:val="00B927C5"/>
    <w:rsid w:val="00BA4747"/>
    <w:rsid w:val="00BA700E"/>
    <w:rsid w:val="00BB4A72"/>
    <w:rsid w:val="00BC469A"/>
    <w:rsid w:val="00C12684"/>
    <w:rsid w:val="00C40089"/>
    <w:rsid w:val="00C56290"/>
    <w:rsid w:val="00C67744"/>
    <w:rsid w:val="00C70AB4"/>
    <w:rsid w:val="00C80C0F"/>
    <w:rsid w:val="00C810BF"/>
    <w:rsid w:val="00C96126"/>
    <w:rsid w:val="00CA70D6"/>
    <w:rsid w:val="00CE430E"/>
    <w:rsid w:val="00CE5CCE"/>
    <w:rsid w:val="00D62435"/>
    <w:rsid w:val="00D7518E"/>
    <w:rsid w:val="00D92891"/>
    <w:rsid w:val="00D97F3F"/>
    <w:rsid w:val="00DA2FD4"/>
    <w:rsid w:val="00DC5145"/>
    <w:rsid w:val="00DF53D6"/>
    <w:rsid w:val="00E00F1C"/>
    <w:rsid w:val="00E251C5"/>
    <w:rsid w:val="00E27DA9"/>
    <w:rsid w:val="00E37589"/>
    <w:rsid w:val="00E43ABE"/>
    <w:rsid w:val="00E619AC"/>
    <w:rsid w:val="00E701BE"/>
    <w:rsid w:val="00E77E5D"/>
    <w:rsid w:val="00E96B64"/>
    <w:rsid w:val="00EC106F"/>
    <w:rsid w:val="00ED7BE0"/>
    <w:rsid w:val="00EE6516"/>
    <w:rsid w:val="00F10A01"/>
    <w:rsid w:val="00F274D0"/>
    <w:rsid w:val="00F27DE9"/>
    <w:rsid w:val="00F454A7"/>
    <w:rsid w:val="00F72B1C"/>
    <w:rsid w:val="00F819E5"/>
    <w:rsid w:val="00F83FC6"/>
    <w:rsid w:val="00F953D9"/>
    <w:rsid w:val="00F96A7E"/>
    <w:rsid w:val="00FA236F"/>
    <w:rsid w:val="00FE7CCA"/>
    <w:rsid w:val="00FF4647"/>
    <w:rsid w:val="00FF6619"/>
    <w:rsid w:val="021412A4"/>
    <w:rsid w:val="07403232"/>
    <w:rsid w:val="07A84D9E"/>
    <w:rsid w:val="0E733F0F"/>
    <w:rsid w:val="12A838F2"/>
    <w:rsid w:val="189C285A"/>
    <w:rsid w:val="261B248D"/>
    <w:rsid w:val="2DEB1C4A"/>
    <w:rsid w:val="2E5C6818"/>
    <w:rsid w:val="31B53F77"/>
    <w:rsid w:val="32404DD9"/>
    <w:rsid w:val="32FE4E31"/>
    <w:rsid w:val="398E1CFA"/>
    <w:rsid w:val="3B166293"/>
    <w:rsid w:val="3C7859A7"/>
    <w:rsid w:val="41D6611C"/>
    <w:rsid w:val="513E059E"/>
    <w:rsid w:val="55186BAB"/>
    <w:rsid w:val="55490F7F"/>
    <w:rsid w:val="5CA61939"/>
    <w:rsid w:val="5F9D4D0B"/>
    <w:rsid w:val="65CC4D10"/>
    <w:rsid w:val="66123BAA"/>
    <w:rsid w:val="680756F9"/>
    <w:rsid w:val="6C692F57"/>
    <w:rsid w:val="6D902E1C"/>
    <w:rsid w:val="6DE05143"/>
    <w:rsid w:val="7525093F"/>
    <w:rsid w:val="779E6B17"/>
    <w:rsid w:val="77EB4C20"/>
    <w:rsid w:val="783548BD"/>
    <w:rsid w:val="7D981ABD"/>
    <w:rsid w:val="7E7805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paragraph" w:styleId="2">
    <w:name w:val="heading 1"/>
    <w:basedOn w:val="1"/>
    <w:next w:val="1"/>
    <w:link w:val="26"/>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tLeast"/>
      <w:outlineLvl w:val="2"/>
    </w:pPr>
    <w:rPr>
      <w:b/>
      <w:bCs/>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overflowPunct/>
      <w:autoSpaceDE w:val="0"/>
      <w:autoSpaceDN w:val="0"/>
      <w:spacing w:line="590" w:lineRule="atLeast"/>
    </w:pPr>
    <w:rPr>
      <w:rFonts w:ascii="Times New Roman" w:hAnsi="Times New Roman"/>
      <w:kern w:val="0"/>
    </w:rPr>
  </w:style>
  <w:style w:type="paragraph" w:styleId="6">
    <w:name w:val="Body Text"/>
    <w:basedOn w:val="1"/>
    <w:next w:val="1"/>
    <w:link w:val="34"/>
    <w:qFormat/>
    <w:uiPriority w:val="0"/>
    <w:pPr>
      <w:spacing w:after="120"/>
    </w:pPr>
  </w:style>
  <w:style w:type="paragraph" w:styleId="7">
    <w:name w:val="Body Text Indent"/>
    <w:basedOn w:val="1"/>
    <w:link w:val="37"/>
    <w:qFormat/>
    <w:uiPriority w:val="0"/>
    <w:pPr>
      <w:overflowPunct/>
      <w:autoSpaceDE w:val="0"/>
      <w:autoSpaceDN w:val="0"/>
      <w:spacing w:line="580" w:lineRule="exact"/>
      <w:ind w:firstLine="640" w:firstLineChars="0"/>
    </w:pPr>
    <w:rPr>
      <w:rFonts w:ascii="仿宋_GB2312" w:hAnsi="Times New Roman" w:eastAsia="仿宋_GB2312"/>
      <w:kern w:val="0"/>
      <w:sz w:val="31"/>
    </w:rPr>
  </w:style>
  <w:style w:type="paragraph" w:styleId="8">
    <w:name w:val="Date"/>
    <w:basedOn w:val="1"/>
    <w:next w:val="1"/>
    <w:qFormat/>
    <w:uiPriority w:val="0"/>
    <w:pPr>
      <w:overflowPunct/>
      <w:snapToGrid/>
      <w:spacing w:line="240" w:lineRule="auto"/>
      <w:ind w:left="100" w:leftChars="2500" w:firstLine="0"/>
    </w:pPr>
    <w:rPr>
      <w:rFonts w:ascii="Times New Roman" w:eastAsia="宋体"/>
      <w:b/>
      <w:bCs/>
      <w:sz w:val="28"/>
      <w:szCs w:val="24"/>
    </w:rPr>
  </w:style>
  <w:style w:type="paragraph" w:styleId="9">
    <w:name w:val="Balloon Text"/>
    <w:basedOn w:val="1"/>
    <w:link w:val="48"/>
    <w:qFormat/>
    <w:uiPriority w:val="0"/>
    <w:pPr>
      <w:spacing w:line="240" w:lineRule="auto"/>
    </w:pPr>
    <w:rPr>
      <w:sz w:val="18"/>
      <w:szCs w:val="18"/>
    </w:rPr>
  </w:style>
  <w:style w:type="paragraph" w:styleId="10">
    <w:name w:val="footer"/>
    <w:basedOn w:val="1"/>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11">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12">
    <w:name w:val="toc 1"/>
    <w:basedOn w:val="1"/>
    <w:next w:val="1"/>
    <w:qFormat/>
    <w:uiPriority w:val="0"/>
    <w:pPr>
      <w:overflowPunct/>
      <w:autoSpaceDE w:val="0"/>
      <w:autoSpaceDN w:val="0"/>
      <w:spacing w:line="590" w:lineRule="atLeast"/>
      <w:ind w:firstLine="624" w:firstLineChars="0"/>
    </w:pPr>
    <w:rPr>
      <w:rFonts w:ascii="Times New Roman" w:hAnsi="Times New Roman"/>
      <w:kern w:val="0"/>
    </w:rPr>
  </w:style>
  <w:style w:type="paragraph" w:styleId="13">
    <w:name w:val="Normal (Web)"/>
    <w:basedOn w:val="1"/>
    <w:qFormat/>
    <w:uiPriority w:val="0"/>
    <w:pPr>
      <w:widowControl/>
      <w:overflowPunct/>
      <w:autoSpaceDE w:val="0"/>
      <w:autoSpaceDN w:val="0"/>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4">
    <w:name w:val="Body Text First Indent"/>
    <w:basedOn w:val="6"/>
    <w:next w:val="10"/>
    <w:link w:val="35"/>
    <w:qFormat/>
    <w:uiPriority w:val="0"/>
    <w:pPr>
      <w:overflowPunct/>
      <w:snapToGrid/>
      <w:spacing w:after="0" w:line="500" w:lineRule="exact"/>
      <w:ind w:firstLine="420" w:firstLineChars="0"/>
    </w:pPr>
    <w:rPr>
      <w:rFonts w:ascii="Times New Roman" w:hAnsi="Times New Roman" w:eastAsia="宋体"/>
      <w:sz w:val="28"/>
      <w:lang w:val="zh-CN" w:bidi="zh-CN"/>
    </w:rPr>
  </w:style>
  <w:style w:type="paragraph" w:styleId="15">
    <w:name w:val="Body Text First Indent 2"/>
    <w:basedOn w:val="7"/>
    <w:link w:val="40"/>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 w:type="paragraph" w:customStyle="1" w:styleId="21">
    <w:name w:val="标题2"/>
    <w:basedOn w:val="1"/>
    <w:next w:val="1"/>
    <w:qFormat/>
    <w:uiPriority w:val="0"/>
    <w:pPr>
      <w:ind w:firstLine="0" w:firstLineChars="0"/>
      <w:jc w:val="center"/>
    </w:pPr>
    <w:rPr>
      <w:rFonts w:ascii="方正楷体_GBK" w:hAnsi="Book Antiqua" w:eastAsia="方正楷体_GBK"/>
    </w:rPr>
  </w:style>
  <w:style w:type="paragraph" w:customStyle="1" w:styleId="22">
    <w:name w:val="标题3"/>
    <w:basedOn w:val="1"/>
    <w:next w:val="1"/>
    <w:qFormat/>
    <w:uiPriority w:val="0"/>
    <w:pPr>
      <w:adjustRightInd w:val="0"/>
    </w:pPr>
    <w:rPr>
      <w:rFonts w:ascii="方正黑体简体" w:eastAsia="方正黑体简体"/>
    </w:rPr>
  </w:style>
  <w:style w:type="paragraph" w:customStyle="1" w:styleId="23">
    <w:name w:val="标题4"/>
    <w:basedOn w:val="22"/>
    <w:next w:val="1"/>
    <w:qFormat/>
    <w:uiPriority w:val="0"/>
    <w:pPr>
      <w:jc w:val="center"/>
    </w:pPr>
  </w:style>
  <w:style w:type="paragraph" w:customStyle="1" w:styleId="24">
    <w:name w:val="文头"/>
    <w:basedOn w:val="1"/>
    <w:qFormat/>
    <w:uiPriority w:val="0"/>
    <w:pPr>
      <w:tabs>
        <w:tab w:val="left" w:pos="6663"/>
      </w:tabs>
      <w:overflowPunct/>
      <w:autoSpaceDE w:val="0"/>
      <w:autoSpaceDN w:val="0"/>
      <w:spacing w:after="1000" w:line="3100" w:lineRule="atLeast"/>
      <w:ind w:left="510" w:right="227" w:hanging="284" w:firstLineChars="0"/>
      <w:jc w:val="distribute"/>
    </w:pPr>
    <w:rPr>
      <w:rFonts w:ascii="汉鼎简大宋" w:hAnsi="汉鼎简大宋" w:eastAsia="汉鼎简大宋"/>
      <w:b/>
      <w:color w:val="FF0000"/>
      <w:w w:val="62"/>
      <w:kern w:val="0"/>
      <w:sz w:val="140"/>
    </w:rPr>
  </w:style>
  <w:style w:type="character" w:customStyle="1" w:styleId="25">
    <w:name w:val="font41"/>
    <w:qFormat/>
    <w:uiPriority w:val="0"/>
    <w:rPr>
      <w:rFonts w:hint="eastAsia" w:ascii="宋体" w:hAnsi="宋体" w:eastAsia="宋体" w:cs="宋体"/>
      <w:color w:val="000000"/>
      <w:sz w:val="20"/>
      <w:szCs w:val="20"/>
      <w:u w:val="none"/>
    </w:rPr>
  </w:style>
  <w:style w:type="character" w:customStyle="1" w:styleId="26">
    <w:name w:val="标题 1 Char"/>
    <w:link w:val="2"/>
    <w:qFormat/>
    <w:uiPriority w:val="0"/>
    <w:rPr>
      <w:rFonts w:ascii="Times" w:hAnsi="Times" w:eastAsia="方正仿宋_GBK"/>
      <w:b/>
      <w:bCs/>
      <w:kern w:val="44"/>
      <w:sz w:val="44"/>
      <w:szCs w:val="44"/>
    </w:rPr>
  </w:style>
  <w:style w:type="character" w:customStyle="1" w:styleId="27">
    <w:name w:val="font131"/>
    <w:qFormat/>
    <w:uiPriority w:val="0"/>
    <w:rPr>
      <w:rFonts w:hint="eastAsia" w:ascii="宋体" w:hAnsi="宋体" w:eastAsia="宋体" w:cs="宋体"/>
      <w:color w:val="000000"/>
      <w:sz w:val="20"/>
      <w:szCs w:val="20"/>
      <w:u w:val="none"/>
    </w:rPr>
  </w:style>
  <w:style w:type="character" w:customStyle="1" w:styleId="28">
    <w:name w:val="NormalCharacter"/>
    <w:semiHidden/>
    <w:qFormat/>
    <w:uiPriority w:val="0"/>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16"/>
    <w:qFormat/>
    <w:uiPriority w:val="0"/>
    <w:rPr>
      <w:rFonts w:ascii="Times New Roman" w:hAnsi="Times New Roman"/>
    </w:rPr>
  </w:style>
  <w:style w:type="character" w:customStyle="1" w:styleId="31">
    <w:name w:val="font141"/>
    <w:qFormat/>
    <w:uiPriority w:val="0"/>
    <w:rPr>
      <w:rFonts w:ascii="font-weight : 400" w:hAnsi="font-weight : 400" w:eastAsia="font-weight : 400" w:cs="font-weight : 400"/>
      <w:color w:val="000000"/>
      <w:sz w:val="22"/>
      <w:szCs w:val="22"/>
      <w:u w:val="none"/>
    </w:rPr>
  </w:style>
  <w:style w:type="character" w:customStyle="1" w:styleId="32">
    <w:name w:val="font01"/>
    <w:qFormat/>
    <w:uiPriority w:val="0"/>
    <w:rPr>
      <w:rFonts w:hint="default" w:ascii="Times New Roman" w:hAnsi="Times New Roman" w:cs="Times New Roman"/>
      <w:color w:val="000000"/>
      <w:sz w:val="20"/>
      <w:szCs w:val="20"/>
      <w:u w:val="none"/>
    </w:rPr>
  </w:style>
  <w:style w:type="character" w:customStyle="1" w:styleId="33">
    <w:name w:val="font71"/>
    <w:qFormat/>
    <w:uiPriority w:val="0"/>
    <w:rPr>
      <w:rFonts w:hint="eastAsia" w:ascii="宋体" w:hAnsi="宋体" w:eastAsia="宋体" w:cs="宋体"/>
      <w:b/>
      <w:color w:val="000000"/>
      <w:sz w:val="20"/>
      <w:szCs w:val="20"/>
      <w:u w:val="none"/>
    </w:rPr>
  </w:style>
  <w:style w:type="character" w:customStyle="1" w:styleId="34">
    <w:name w:val="正文文本 Char"/>
    <w:basedOn w:val="18"/>
    <w:link w:val="6"/>
    <w:qFormat/>
    <w:uiPriority w:val="0"/>
    <w:rPr>
      <w:rFonts w:ascii="Times" w:hAnsi="Times" w:eastAsia="方正仿宋_GBK"/>
      <w:kern w:val="2"/>
      <w:sz w:val="32"/>
    </w:rPr>
  </w:style>
  <w:style w:type="character" w:customStyle="1" w:styleId="35">
    <w:name w:val="正文首行缩进 Char"/>
    <w:basedOn w:val="34"/>
    <w:link w:val="14"/>
    <w:qFormat/>
    <w:uiPriority w:val="0"/>
    <w:rPr>
      <w:rFonts w:ascii="Times" w:hAnsi="Times" w:eastAsia="方正仿宋_GBK"/>
      <w:kern w:val="2"/>
      <w:sz w:val="28"/>
      <w:lang w:val="zh-CN" w:bidi="zh-CN"/>
    </w:rPr>
  </w:style>
  <w:style w:type="paragraph" w:styleId="36">
    <w:name w:val="List Paragraph"/>
    <w:basedOn w:val="1"/>
    <w:qFormat/>
    <w:uiPriority w:val="34"/>
    <w:pPr>
      <w:overflowPunct/>
      <w:autoSpaceDE w:val="0"/>
      <w:autoSpaceDN w:val="0"/>
      <w:spacing w:line="590" w:lineRule="atLeast"/>
      <w:ind w:firstLine="420"/>
    </w:pPr>
    <w:rPr>
      <w:rFonts w:ascii="Times New Roman" w:hAnsi="Times New Roman"/>
      <w:kern w:val="0"/>
    </w:rPr>
  </w:style>
  <w:style w:type="character" w:customStyle="1" w:styleId="37">
    <w:name w:val="正文文本缩进 Char"/>
    <w:basedOn w:val="18"/>
    <w:link w:val="7"/>
    <w:qFormat/>
    <w:uiPriority w:val="0"/>
    <w:rPr>
      <w:rFonts w:ascii="仿宋_GB2312" w:eastAsia="仿宋_GB2312"/>
      <w:sz w:val="31"/>
    </w:rPr>
  </w:style>
  <w:style w:type="paragraph" w:customStyle="1" w:styleId="38">
    <w:name w:val="附件栏"/>
    <w:basedOn w:val="1"/>
    <w:qFormat/>
    <w:uiPriority w:val="0"/>
    <w:pPr>
      <w:overflowPunct/>
      <w:autoSpaceDE w:val="0"/>
      <w:autoSpaceDN w:val="0"/>
      <w:spacing w:line="590" w:lineRule="atLeast"/>
      <w:ind w:firstLine="624" w:firstLineChars="0"/>
    </w:pPr>
    <w:rPr>
      <w:rFonts w:ascii="Times New Roman" w:hAnsi="Times New Roman"/>
      <w:kern w:val="0"/>
    </w:rPr>
  </w:style>
  <w:style w:type="paragraph" w:customStyle="1" w:styleId="39">
    <w:name w:val="红线"/>
    <w:basedOn w:val="2"/>
    <w:qFormat/>
    <w:uiPriority w:val="0"/>
    <w:pPr>
      <w:keepNext w:val="0"/>
      <w:keepLines w:val="0"/>
      <w:overflowPunct/>
      <w:autoSpaceDE w:val="0"/>
      <w:autoSpaceDN w:val="0"/>
      <w:adjustRightInd w:val="0"/>
      <w:snapToGrid/>
      <w:spacing w:before="0" w:after="851" w:line="227" w:lineRule="atLeast"/>
      <w:ind w:right="-142" w:firstLine="0" w:firstLineChars="0"/>
      <w:jc w:val="center"/>
      <w:outlineLvl w:val="9"/>
    </w:pPr>
    <w:rPr>
      <w:rFonts w:ascii="宋体" w:hAnsi="Times New Roman" w:eastAsia="宋体"/>
      <w:bCs w:val="0"/>
      <w:kern w:val="0"/>
      <w:sz w:val="10"/>
      <w:szCs w:val="20"/>
    </w:rPr>
  </w:style>
  <w:style w:type="character" w:customStyle="1" w:styleId="40">
    <w:name w:val="正文首行缩进 2 Char"/>
    <w:basedOn w:val="37"/>
    <w:link w:val="15"/>
    <w:qFormat/>
    <w:uiPriority w:val="0"/>
    <w:rPr>
      <w:rFonts w:ascii="仿宋_GB2312" w:eastAsia="仿宋_GB2312"/>
      <w:sz w:val="31"/>
    </w:rPr>
  </w:style>
  <w:style w:type="paragraph" w:customStyle="1" w:styleId="41">
    <w:name w:val="Heading3"/>
    <w:basedOn w:val="1"/>
    <w:next w:val="1"/>
    <w:qFormat/>
    <w:uiPriority w:val="0"/>
    <w:pPr>
      <w:keepNext/>
      <w:keepLines/>
      <w:overflowPunct/>
      <w:autoSpaceDE w:val="0"/>
      <w:autoSpaceDN w:val="0"/>
      <w:spacing w:before="260" w:after="260" w:line="416" w:lineRule="auto"/>
      <w:ind w:firstLine="624" w:firstLineChars="0"/>
      <w:textAlignment w:val="baseline"/>
    </w:pPr>
    <w:rPr>
      <w:rFonts w:ascii="Times New Roman" w:hAnsi="Times New Roman"/>
      <w:b/>
      <w:bCs/>
      <w:kern w:val="0"/>
      <w:szCs w:val="32"/>
    </w:rPr>
  </w:style>
  <w:style w:type="paragraph" w:customStyle="1" w:styleId="42">
    <w:name w:val="主题词"/>
    <w:basedOn w:val="1"/>
    <w:qFormat/>
    <w:uiPriority w:val="0"/>
    <w:pPr>
      <w:autoSpaceDE w:val="0"/>
      <w:autoSpaceDN w:val="0"/>
      <w:spacing w:line="400" w:lineRule="atLeast"/>
      <w:ind w:firstLine="0" w:firstLineChars="0"/>
    </w:pPr>
    <w:rPr>
      <w:rFonts w:ascii="方正黑体_GBK" w:hAnsi="Times New Roman" w:eastAsia="方正黑体_GBK"/>
      <w:kern w:val="0"/>
    </w:rPr>
  </w:style>
  <w:style w:type="paragraph" w:customStyle="1" w:styleId="43">
    <w:name w:val="表格文字"/>
    <w:basedOn w:val="1"/>
    <w:next w:val="6"/>
    <w:qFormat/>
    <w:uiPriority w:val="0"/>
    <w:pPr>
      <w:overflowPunct/>
      <w:autoSpaceDE w:val="0"/>
      <w:autoSpaceDN w:val="0"/>
      <w:adjustRightInd w:val="0"/>
      <w:spacing w:line="420" w:lineRule="atLeast"/>
      <w:ind w:firstLine="624" w:firstLineChars="0"/>
      <w:jc w:val="left"/>
      <w:textAlignment w:val="baseline"/>
    </w:pPr>
    <w:rPr>
      <w:rFonts w:ascii="Times New Roman" w:hAnsi="Times New Roman" w:eastAsia="宋体"/>
      <w:kern w:val="0"/>
    </w:rPr>
  </w:style>
  <w:style w:type="paragraph" w:customStyle="1" w:styleId="44">
    <w:name w:val="线型"/>
    <w:basedOn w:val="45"/>
    <w:qFormat/>
    <w:uiPriority w:val="0"/>
    <w:pPr>
      <w:adjustRightInd w:val="0"/>
      <w:snapToGrid/>
      <w:spacing w:line="240" w:lineRule="auto"/>
      <w:ind w:left="0" w:firstLine="0"/>
      <w:jc w:val="center"/>
    </w:pPr>
    <w:rPr>
      <w:sz w:val="21"/>
    </w:rPr>
  </w:style>
  <w:style w:type="paragraph" w:customStyle="1" w:styleId="45">
    <w:name w:val="抄送栏"/>
    <w:basedOn w:val="1"/>
    <w:qFormat/>
    <w:uiPriority w:val="0"/>
    <w:pPr>
      <w:overflowPunct/>
      <w:autoSpaceDE w:val="0"/>
      <w:autoSpaceDN w:val="0"/>
      <w:spacing w:line="454" w:lineRule="atLeast"/>
      <w:ind w:left="1308" w:right="357" w:hanging="953" w:firstLineChars="0"/>
    </w:pPr>
    <w:rPr>
      <w:rFonts w:ascii="Times New Roman" w:hAnsi="Times New Roman"/>
      <w:kern w:val="0"/>
    </w:rPr>
  </w:style>
  <w:style w:type="paragraph" w:customStyle="1" w:styleId="46">
    <w:name w:val="主送单位"/>
    <w:basedOn w:val="1"/>
    <w:next w:val="1"/>
    <w:qFormat/>
    <w:uiPriority w:val="0"/>
    <w:pPr>
      <w:overflowPunct/>
      <w:adjustRightInd w:val="0"/>
      <w:snapToGrid/>
      <w:spacing w:line="567" w:lineRule="atLeast"/>
      <w:ind w:firstLine="0" w:firstLineChars="0"/>
      <w:jc w:val="left"/>
    </w:pPr>
    <w:rPr>
      <w:rFonts w:ascii="Times New Roman" w:hAnsi="Times New Roman" w:eastAsia="仿宋_GB2312"/>
      <w:kern w:val="0"/>
    </w:rPr>
  </w:style>
  <w:style w:type="paragraph" w:customStyle="1" w:styleId="47">
    <w:name w:val="论文标题"/>
    <w:basedOn w:val="1"/>
    <w:qFormat/>
    <w:uiPriority w:val="0"/>
    <w:pPr>
      <w:overflowPunct/>
      <w:autoSpaceDE w:val="0"/>
      <w:autoSpaceDN w:val="0"/>
      <w:spacing w:line="0" w:lineRule="atLeast"/>
      <w:ind w:firstLine="624" w:firstLineChars="0"/>
      <w:jc w:val="center"/>
    </w:pPr>
    <w:rPr>
      <w:rFonts w:ascii="Times New Roman" w:hAnsi="Times New Roman" w:eastAsia="方正小标宋_GBK"/>
      <w:kern w:val="0"/>
      <w:sz w:val="36"/>
    </w:rPr>
  </w:style>
  <w:style w:type="character" w:customStyle="1" w:styleId="48">
    <w:name w:val="批注框文本 Char"/>
    <w:basedOn w:val="18"/>
    <w:link w:val="9"/>
    <w:qFormat/>
    <w:uiPriority w:val="0"/>
    <w:rPr>
      <w:rFonts w:ascii="Times" w:hAnsi="Times" w:eastAsia="方正仿宋_GBK"/>
      <w:kern w:val="2"/>
      <w:sz w:val="18"/>
      <w:szCs w:val="18"/>
    </w:rPr>
  </w:style>
  <w:style w:type="character" w:customStyle="1" w:styleId="49">
    <w:name w:val="font21"/>
    <w:basedOn w:val="18"/>
    <w:qFormat/>
    <w:uiPriority w:val="0"/>
    <w:rPr>
      <w:rFonts w:hint="eastAsia" w:ascii="宋体" w:hAnsi="宋体" w:eastAsia="宋体"/>
      <w:color w:val="000000"/>
      <w:sz w:val="22"/>
      <w:szCs w:val="22"/>
      <w:u w:val="none"/>
    </w:rPr>
  </w:style>
  <w:style w:type="character" w:customStyle="1" w:styleId="50">
    <w:name w:val="font31"/>
    <w:basedOn w:val="18"/>
    <w:qFormat/>
    <w:uiPriority w:val="0"/>
    <w:rPr>
      <w:rFonts w:hint="default" w:ascii="Calibri" w:hAnsi="Calibri"/>
      <w:color w:val="000000"/>
      <w:sz w:val="22"/>
      <w:szCs w:val="22"/>
      <w:u w:val="none"/>
    </w:rPr>
  </w:style>
  <w:style w:type="character" w:customStyle="1" w:styleId="51">
    <w:name w:val="font112"/>
    <w:basedOn w:val="18"/>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0-A4-3&#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10-A4-3号</Template>
  <Company>China</Company>
  <Pages>12</Pages>
  <Words>10994</Words>
  <Characters>11102</Characters>
  <Lines>2206</Lines>
  <Paragraphs>621</Paragraphs>
  <TotalTime>38</TotalTime>
  <ScaleCrop>false</ScaleCrop>
  <LinksUpToDate>false</LinksUpToDate>
  <CharactersWithSpaces>11129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2024-12-12T07:17:00Z</dcterms:created>
  <dc:creator>User</dc:creator>
  <cp:lastModifiedBy>韩小抽✨</cp:lastModifiedBy>
  <cp:lastPrinted>2024-12-12T03:23:00Z</cp:lastPrinted>
  <dcterms:modified xsi:type="dcterms:W3CDTF">2024-12-26T08:24:53Z</dcterms:modified>
  <dc:title>公文通报模板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85B15312601D4253B304FD9C97405BE5_13</vt:lpwstr>
  </property>
</Properties>
</file>